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52FC" w14:textId="77777777" w:rsidR="00F16907" w:rsidRDefault="00F16907" w:rsidP="002E0A2C">
      <w:pPr>
        <w:jc w:val="left"/>
      </w:pPr>
    </w:p>
    <w:p w14:paraId="0D811F9F" w14:textId="77777777" w:rsidR="004F17D0" w:rsidRDefault="004F17D0" w:rsidP="002E0A2C">
      <w:pPr>
        <w:jc w:val="left"/>
      </w:pPr>
    </w:p>
    <w:p w14:paraId="59D417D2" w14:textId="77777777" w:rsidR="004F17D0" w:rsidRDefault="004F17D0" w:rsidP="002E0A2C">
      <w:pPr>
        <w:jc w:val="left"/>
      </w:pPr>
    </w:p>
    <w:p w14:paraId="4119E1E1" w14:textId="0E19278C" w:rsidR="004F17D0" w:rsidRPr="00252B0F" w:rsidRDefault="004F17D0" w:rsidP="002E0A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52B0F">
        <w:rPr>
          <w:rFonts w:ascii="Arial" w:hAnsi="Arial" w:cs="Arial"/>
          <w:b/>
          <w:bCs/>
          <w:sz w:val="28"/>
          <w:szCs w:val="28"/>
        </w:rPr>
        <w:t>UTPEKING AV NORSKE TEN-T-HAVNER -</w:t>
      </w:r>
    </w:p>
    <w:p w14:paraId="0E9A2E59" w14:textId="77777777" w:rsidR="004258DB" w:rsidRDefault="004F17D0" w:rsidP="002E0A2C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252B0F">
        <w:rPr>
          <w:rFonts w:ascii="Arial" w:hAnsi="Arial" w:cs="Arial"/>
          <w:b/>
          <w:bCs/>
          <w:sz w:val="28"/>
          <w:szCs w:val="28"/>
        </w:rPr>
        <w:t xml:space="preserve">INVITASJON TIL Å </w:t>
      </w:r>
      <w:r w:rsidR="004258DB">
        <w:rPr>
          <w:rFonts w:ascii="Arial" w:hAnsi="Arial" w:cs="Arial"/>
          <w:b/>
          <w:bCs/>
          <w:sz w:val="28"/>
          <w:szCs w:val="28"/>
        </w:rPr>
        <w:t xml:space="preserve">MELDE INTERESSE FOR Å FÅ </w:t>
      </w:r>
    </w:p>
    <w:p w14:paraId="18FB59D2" w14:textId="4F230C42" w:rsidR="004F17D0" w:rsidRPr="00252B0F" w:rsidRDefault="004F17D0" w:rsidP="002E0A2C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252B0F">
        <w:rPr>
          <w:rFonts w:ascii="Arial" w:hAnsi="Arial" w:cs="Arial"/>
          <w:b/>
          <w:bCs/>
          <w:sz w:val="28"/>
          <w:szCs w:val="28"/>
        </w:rPr>
        <w:t>STATUS SOM TEN-T-HAVN</w:t>
      </w:r>
    </w:p>
    <w:p w14:paraId="09D1C879" w14:textId="6CE941B3" w:rsidR="00252B0F" w:rsidRPr="00F7681F" w:rsidRDefault="00252B0F" w:rsidP="002E0A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FRIST </w:t>
      </w:r>
      <w:r w:rsidR="004258DB">
        <w:rPr>
          <w:rFonts w:ascii="Arial" w:hAnsi="Arial" w:cs="Arial"/>
          <w:b/>
          <w:bCs/>
        </w:rPr>
        <w:t>FOR TILBAKEMELDING 30</w:t>
      </w:r>
      <w:r>
        <w:rPr>
          <w:rFonts w:ascii="Arial" w:hAnsi="Arial" w:cs="Arial"/>
          <w:b/>
          <w:bCs/>
        </w:rPr>
        <w:t>.</w:t>
      </w:r>
      <w:r w:rsidR="008E4D90">
        <w:rPr>
          <w:rFonts w:ascii="Arial" w:hAnsi="Arial" w:cs="Arial"/>
          <w:b/>
          <w:bCs/>
        </w:rPr>
        <w:t xml:space="preserve"> APRIL </w:t>
      </w:r>
      <w:r>
        <w:rPr>
          <w:rFonts w:ascii="Arial" w:hAnsi="Arial" w:cs="Arial"/>
          <w:b/>
          <w:bCs/>
        </w:rPr>
        <w:t>2025</w:t>
      </w:r>
    </w:p>
    <w:p w14:paraId="1DD68EAE" w14:textId="77777777" w:rsidR="004F17D0" w:rsidRDefault="004F17D0" w:rsidP="002E0A2C">
      <w:pPr>
        <w:jc w:val="left"/>
      </w:pPr>
    </w:p>
    <w:p w14:paraId="4B2C62FB" w14:textId="77777777" w:rsidR="004F17D0" w:rsidRPr="00252B0F" w:rsidRDefault="004F17D0" w:rsidP="002E0A2C">
      <w:pPr>
        <w:jc w:val="left"/>
        <w:rPr>
          <w:rFonts w:ascii="Arial" w:hAnsi="Arial" w:cs="Arial"/>
          <w:b/>
          <w:bCs/>
          <w:sz w:val="28"/>
          <w:szCs w:val="28"/>
        </w:rPr>
      </w:pPr>
      <w:r w:rsidRPr="00252B0F">
        <w:rPr>
          <w:rFonts w:ascii="Arial" w:hAnsi="Arial" w:cs="Arial"/>
          <w:b/>
          <w:bCs/>
          <w:sz w:val="28"/>
          <w:szCs w:val="28"/>
        </w:rPr>
        <w:t>1. INNLEDNING</w:t>
      </w:r>
    </w:p>
    <w:p w14:paraId="00DE12C0" w14:textId="3C9E6F7B" w:rsidR="004F17D0" w:rsidRDefault="004258DB" w:rsidP="002E0A2C">
      <w:pPr>
        <w:jc w:val="left"/>
        <w:rPr>
          <w:rFonts w:ascii="Arial" w:hAnsi="Arial" w:cs="Arial"/>
        </w:rPr>
      </w:pPr>
      <w:r w:rsidRPr="004258DB">
        <w:rPr>
          <w:rFonts w:ascii="Arial" w:hAnsi="Arial" w:cs="Arial"/>
          <w:lang w:val="nb-NO"/>
        </w:rPr>
        <w:t>I forbindelse med at EU har revidert regelverket om det transeuropeiske transportnettet (TEN-T)</w:t>
      </w:r>
      <w:r w:rsidR="0042645D">
        <w:rPr>
          <w:rFonts w:ascii="Arial" w:hAnsi="Arial" w:cs="Arial"/>
          <w:lang w:val="nb-NO"/>
        </w:rPr>
        <w:t>,</w:t>
      </w:r>
      <w:r w:rsidRPr="004258DB">
        <w:rPr>
          <w:rFonts w:ascii="Arial" w:hAnsi="Arial" w:cs="Arial"/>
          <w:lang w:val="nb-NO"/>
        </w:rPr>
        <w:t xml:space="preserve"> har</w:t>
      </w:r>
      <w:r>
        <w:rPr>
          <w:rFonts w:ascii="Arial" w:hAnsi="Arial" w:cs="Arial"/>
          <w:lang w:val="nb-NO"/>
        </w:rPr>
        <w:t xml:space="preserve"> </w:t>
      </w:r>
      <w:r w:rsidR="004F17D0">
        <w:rPr>
          <w:rFonts w:ascii="Arial" w:hAnsi="Arial" w:cs="Arial"/>
        </w:rPr>
        <w:t xml:space="preserve">Nærings- og fiskeridepartementet besluttet å gjøre en fornyet vurdering av hvilke norske havner som skal inngå i </w:t>
      </w:r>
      <w:r w:rsidR="004F17D0" w:rsidRPr="00753173">
        <w:rPr>
          <w:rFonts w:ascii="Arial" w:hAnsi="Arial" w:cs="Arial"/>
        </w:rPr>
        <w:t>TEN-T</w:t>
      </w:r>
      <w:r>
        <w:rPr>
          <w:rFonts w:ascii="Arial" w:hAnsi="Arial" w:cs="Arial"/>
        </w:rPr>
        <w:t>-nettverket</w:t>
      </w:r>
      <w:r w:rsidR="0042645D">
        <w:rPr>
          <w:rFonts w:ascii="Arial" w:hAnsi="Arial" w:cs="Arial"/>
        </w:rPr>
        <w:t>,</w:t>
      </w:r>
      <w:r w:rsidR="004F17D0">
        <w:rPr>
          <w:rFonts w:ascii="Arial" w:hAnsi="Arial" w:cs="Arial"/>
        </w:rPr>
        <w:t xml:space="preserve"> basert på oppdaterte data om gods- og passasjertransport mv. i havnene. </w:t>
      </w:r>
    </w:p>
    <w:p w14:paraId="6531051D" w14:textId="2527A797" w:rsidR="004258DB" w:rsidRPr="0042645D" w:rsidRDefault="0042645D" w:rsidP="002E0A2C">
      <w:pPr>
        <w:jc w:val="left"/>
        <w:rPr>
          <w:rFonts w:ascii="Arial" w:hAnsi="Arial" w:cs="Arial"/>
        </w:rPr>
      </w:pPr>
      <w:r w:rsidRPr="0042645D">
        <w:rPr>
          <w:rFonts w:ascii="Arial" w:hAnsi="Arial" w:cs="Arial"/>
        </w:rPr>
        <w:t>Dagens norske TEN-T-havner er</w:t>
      </w:r>
      <w:r w:rsidR="00F315E2">
        <w:rPr>
          <w:rFonts w:ascii="Arial" w:hAnsi="Arial" w:cs="Arial"/>
        </w:rPr>
        <w:t>:</w:t>
      </w:r>
      <w:r w:rsidRPr="0042645D">
        <w:rPr>
          <w:rFonts w:ascii="Arial" w:hAnsi="Arial" w:cs="Arial"/>
        </w:rPr>
        <w:t xml:space="preserve"> Moss, Oslo, Tønsberg, Larvik, Grenland, Kristiansand, Karmsund, Stavanger, Bergen, Molde, Kristiansund, Trondheim, Mo i Rana, Narvik, Hammerfest og Kirkenes.</w:t>
      </w:r>
    </w:p>
    <w:p w14:paraId="628201E0" w14:textId="5DD33711" w:rsidR="004F17D0" w:rsidRDefault="004F17D0" w:rsidP="002E0A2C">
      <w:pPr>
        <w:jc w:val="left"/>
        <w:rPr>
          <w:rFonts w:ascii="Arial" w:hAnsi="Arial" w:cs="Arial"/>
          <w:kern w:val="24"/>
        </w:rPr>
      </w:pPr>
      <w:r w:rsidRPr="00753173">
        <w:rPr>
          <w:rFonts w:ascii="Arial" w:hAnsi="Arial" w:cs="Arial"/>
          <w:kern w:val="24"/>
        </w:rPr>
        <w:t>TEN-T</w:t>
      </w:r>
      <w:r w:rsidR="008C468B" w:rsidRPr="008C468B">
        <w:rPr>
          <w:rFonts w:ascii="Arial" w:hAnsi="Arial" w:cs="Arial"/>
          <w:kern w:val="24"/>
          <w:lang w:val="nb-NO"/>
        </w:rPr>
        <w:t xml:space="preserve"> er EUs nettverk av viktige veier, jernbanestrekninger, flyplasser og havner</w:t>
      </w:r>
      <w:r w:rsidRPr="00753173">
        <w:rPr>
          <w:rFonts w:ascii="Arial" w:hAnsi="Arial" w:cs="Arial"/>
          <w:kern w:val="24"/>
        </w:rPr>
        <w:t xml:space="preserve">. </w:t>
      </w:r>
      <w:r>
        <w:rPr>
          <w:rFonts w:ascii="Arial" w:hAnsi="Arial" w:cs="Arial"/>
          <w:kern w:val="24"/>
        </w:rPr>
        <w:t>Infrastrukturen er kategoriser</w:t>
      </w:r>
      <w:r w:rsidRPr="004F17D0">
        <w:rPr>
          <w:rFonts w:ascii="Arial" w:hAnsi="Arial" w:cs="Arial"/>
          <w:kern w:val="24"/>
        </w:rPr>
        <w:t>t i</w:t>
      </w:r>
      <w:r>
        <w:rPr>
          <w:rFonts w:ascii="Arial" w:hAnsi="Arial" w:cs="Arial"/>
          <w:kern w:val="24"/>
        </w:rPr>
        <w:t xml:space="preserve"> et kjernenett, et utvidet kjernenett </w:t>
      </w:r>
      <w:r w:rsidR="008C468B">
        <w:rPr>
          <w:rFonts w:ascii="Arial" w:hAnsi="Arial" w:cs="Arial"/>
          <w:kern w:val="24"/>
        </w:rPr>
        <w:t xml:space="preserve">(ikke </w:t>
      </w:r>
      <w:r w:rsidR="00842A9F">
        <w:rPr>
          <w:rFonts w:ascii="Arial" w:hAnsi="Arial" w:cs="Arial"/>
          <w:kern w:val="24"/>
        </w:rPr>
        <w:t xml:space="preserve">relevant for </w:t>
      </w:r>
      <w:r w:rsidR="008C468B">
        <w:rPr>
          <w:rFonts w:ascii="Arial" w:hAnsi="Arial" w:cs="Arial"/>
          <w:kern w:val="24"/>
        </w:rPr>
        <w:t xml:space="preserve">havner) </w:t>
      </w:r>
      <w:r>
        <w:rPr>
          <w:rFonts w:ascii="Arial" w:hAnsi="Arial" w:cs="Arial"/>
          <w:kern w:val="24"/>
        </w:rPr>
        <w:t xml:space="preserve">og det </w:t>
      </w:r>
      <w:r w:rsidR="00B13953">
        <w:rPr>
          <w:rFonts w:ascii="Arial" w:hAnsi="Arial" w:cs="Arial"/>
          <w:kern w:val="24"/>
        </w:rPr>
        <w:t xml:space="preserve">utvidete </w:t>
      </w:r>
      <w:r>
        <w:rPr>
          <w:rFonts w:ascii="Arial" w:hAnsi="Arial" w:cs="Arial"/>
          <w:kern w:val="24"/>
        </w:rPr>
        <w:t xml:space="preserve">nettet. </w:t>
      </w:r>
      <w:r w:rsidR="00F315E2">
        <w:rPr>
          <w:rFonts w:ascii="Arial" w:hAnsi="Arial" w:cs="Arial"/>
          <w:kern w:val="24"/>
        </w:rPr>
        <w:t xml:space="preserve">TEN-T-forordningen - </w:t>
      </w:r>
      <w:r w:rsidR="00F315E2" w:rsidRPr="00F315E2">
        <w:rPr>
          <w:rFonts w:ascii="Arial" w:hAnsi="Arial" w:cs="Arial"/>
          <w:i/>
          <w:iCs/>
          <w:kern w:val="24"/>
        </w:rPr>
        <w:t xml:space="preserve">Regulation </w:t>
      </w:r>
      <w:r w:rsidRPr="7916ED4E">
        <w:rPr>
          <w:rFonts w:ascii="Arial" w:hAnsi="Arial" w:cs="Arial"/>
          <w:i/>
          <w:iCs/>
        </w:rPr>
        <w:t>of the European Parliament and of the Council of 13 June 2024 on Union guidelines for the development of the trans-European transport network</w:t>
      </w:r>
      <w:r w:rsidR="00F315E2">
        <w:rPr>
          <w:rFonts w:ascii="Arial" w:hAnsi="Arial" w:cs="Arial"/>
          <w:i/>
          <w:iCs/>
        </w:rPr>
        <w:t xml:space="preserve"> -</w:t>
      </w:r>
      <w:r w:rsidR="00F315E2">
        <w:rPr>
          <w:rFonts w:ascii="Arial" w:hAnsi="Arial" w:cs="Arial"/>
        </w:rPr>
        <w:t xml:space="preserve"> </w:t>
      </w:r>
      <w:r w:rsidRPr="00753173">
        <w:rPr>
          <w:rFonts w:ascii="Arial" w:hAnsi="Arial" w:cs="Arial"/>
        </w:rPr>
        <w:t>definerer nettverket og angir krav til</w:t>
      </w:r>
      <w:r w:rsidRPr="00753173">
        <w:rPr>
          <w:rFonts w:ascii="Arial" w:hAnsi="Arial" w:cs="Arial"/>
          <w:kern w:val="24"/>
        </w:rPr>
        <w:t xml:space="preserve"> infrastrukturen</w:t>
      </w:r>
      <w:r w:rsidR="008C468B">
        <w:rPr>
          <w:rFonts w:ascii="Arial" w:hAnsi="Arial" w:cs="Arial"/>
          <w:kern w:val="24"/>
        </w:rPr>
        <w:t xml:space="preserve"> som inngår i nettverket</w:t>
      </w:r>
      <w:r w:rsidRPr="00753173">
        <w:rPr>
          <w:rFonts w:ascii="Arial" w:hAnsi="Arial" w:cs="Arial"/>
          <w:kern w:val="24"/>
        </w:rPr>
        <w:t xml:space="preserve">. </w:t>
      </w:r>
    </w:p>
    <w:p w14:paraId="308EDC13" w14:textId="3B41074A" w:rsidR="004F17D0" w:rsidRDefault="00697AF1" w:rsidP="008C468B">
      <w:pPr>
        <w:jc w:val="left"/>
        <w:rPr>
          <w:rFonts w:ascii="Arial" w:hAnsi="Arial" w:cs="Arial"/>
          <w:kern w:val="24"/>
        </w:rPr>
      </w:pPr>
      <w:r w:rsidRPr="00753173">
        <w:rPr>
          <w:rFonts w:ascii="Arial" w:hAnsi="Arial" w:cs="Arial"/>
          <w:kern w:val="24"/>
        </w:rPr>
        <w:t xml:space="preserve">Formålet </w:t>
      </w:r>
      <w:r>
        <w:rPr>
          <w:rFonts w:ascii="Arial" w:hAnsi="Arial" w:cs="Arial"/>
          <w:kern w:val="24"/>
        </w:rPr>
        <w:t xml:space="preserve">med TEN-T </w:t>
      </w:r>
      <w:r w:rsidRPr="00753173">
        <w:rPr>
          <w:rFonts w:ascii="Arial" w:hAnsi="Arial" w:cs="Arial"/>
          <w:kern w:val="24"/>
        </w:rPr>
        <w:t xml:space="preserve">er å </w:t>
      </w:r>
      <w:r w:rsidRPr="008C468B">
        <w:rPr>
          <w:rFonts w:ascii="Arial" w:hAnsi="Arial" w:cs="Arial"/>
          <w:kern w:val="24"/>
          <w:lang w:val="nb-NO"/>
        </w:rPr>
        <w:t xml:space="preserve">utvikle et standardisert transportnettverk </w:t>
      </w:r>
      <w:r>
        <w:rPr>
          <w:rFonts w:ascii="Arial" w:hAnsi="Arial" w:cs="Arial"/>
          <w:kern w:val="24"/>
          <w:lang w:val="nb-NO"/>
        </w:rPr>
        <w:t xml:space="preserve">med høy kvalitet, </w:t>
      </w:r>
      <w:r w:rsidRPr="008C468B">
        <w:rPr>
          <w:rFonts w:ascii="Arial" w:hAnsi="Arial" w:cs="Arial"/>
          <w:kern w:val="24"/>
          <w:lang w:val="nb-NO"/>
        </w:rPr>
        <w:t>som er effektivt og motstandsdyktig og som styrke</w:t>
      </w:r>
      <w:r>
        <w:rPr>
          <w:rFonts w:ascii="Arial" w:hAnsi="Arial" w:cs="Arial"/>
          <w:kern w:val="24"/>
          <w:lang w:val="nb-NO"/>
        </w:rPr>
        <w:t>r</w:t>
      </w:r>
      <w:r w:rsidRPr="008C468B">
        <w:rPr>
          <w:rFonts w:ascii="Arial" w:hAnsi="Arial" w:cs="Arial"/>
          <w:kern w:val="24"/>
          <w:lang w:val="nb-NO"/>
        </w:rPr>
        <w:t xml:space="preserve"> sosialt,</w:t>
      </w:r>
      <w:r>
        <w:rPr>
          <w:rFonts w:ascii="Arial" w:hAnsi="Arial" w:cs="Arial"/>
          <w:kern w:val="24"/>
          <w:lang w:val="nb-NO"/>
        </w:rPr>
        <w:t xml:space="preserve"> </w:t>
      </w:r>
      <w:r w:rsidRPr="008C468B">
        <w:rPr>
          <w:rFonts w:ascii="Arial" w:hAnsi="Arial" w:cs="Arial"/>
          <w:kern w:val="24"/>
          <w:lang w:val="nb-NO"/>
        </w:rPr>
        <w:t>økonomisk og territorielt fellesskap</w:t>
      </w:r>
      <w:r w:rsidRPr="004E1D1E">
        <w:rPr>
          <w:rFonts w:ascii="Arial" w:hAnsi="Arial" w:cs="Arial"/>
          <w:kern w:val="24"/>
        </w:rPr>
        <w:t>.</w:t>
      </w:r>
      <w:r>
        <w:rPr>
          <w:rFonts w:ascii="Arial" w:hAnsi="Arial" w:cs="Arial"/>
          <w:kern w:val="24"/>
        </w:rPr>
        <w:t xml:space="preserve"> </w:t>
      </w:r>
      <w:r w:rsidR="004F17D0">
        <w:rPr>
          <w:rFonts w:ascii="Arial" w:hAnsi="Arial" w:cs="Arial"/>
          <w:kern w:val="24"/>
        </w:rPr>
        <w:t>Den reviderte TEN-T-forordningen som EU vedtok tidligere i år, styrker</w:t>
      </w:r>
      <w:r w:rsidR="004F17D0" w:rsidRPr="004E1D1E">
        <w:rPr>
          <w:rFonts w:ascii="Arial" w:hAnsi="Arial" w:cs="Arial"/>
          <w:kern w:val="24"/>
        </w:rPr>
        <w:t xml:space="preserve"> innsats</w:t>
      </w:r>
      <w:r w:rsidR="004F17D0">
        <w:rPr>
          <w:rFonts w:ascii="Arial" w:hAnsi="Arial" w:cs="Arial"/>
          <w:kern w:val="24"/>
        </w:rPr>
        <w:t>en</w:t>
      </w:r>
      <w:r w:rsidR="004F17D0" w:rsidRPr="004E1D1E">
        <w:rPr>
          <w:rFonts w:ascii="Arial" w:hAnsi="Arial" w:cs="Arial"/>
          <w:kern w:val="24"/>
        </w:rPr>
        <w:t xml:space="preserve"> for å bygge et bærekraftig og motstandsdyktig nettverk</w:t>
      </w:r>
      <w:r w:rsidR="00F315E2">
        <w:rPr>
          <w:rFonts w:ascii="Arial" w:hAnsi="Arial" w:cs="Arial"/>
          <w:kern w:val="24"/>
        </w:rPr>
        <w:t>,</w:t>
      </w:r>
      <w:r w:rsidR="004F17D0">
        <w:rPr>
          <w:rFonts w:ascii="Arial" w:hAnsi="Arial" w:cs="Arial"/>
          <w:kern w:val="24"/>
        </w:rPr>
        <w:t xml:space="preserve"> og adresserer også </w:t>
      </w:r>
      <w:r w:rsidR="004F17D0" w:rsidRPr="004E1D1E">
        <w:rPr>
          <w:rFonts w:ascii="Arial" w:hAnsi="Arial" w:cs="Arial"/>
          <w:kern w:val="24"/>
        </w:rPr>
        <w:t>klimautfordringer og militær mobilitet.</w:t>
      </w:r>
    </w:p>
    <w:p w14:paraId="11DAD722" w14:textId="411956C8" w:rsidR="008C468B" w:rsidRDefault="004F17D0" w:rsidP="008C468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Det er havner med relativt mye gods- eller passasjertransport som er mest aktuelle å innlemme i TEN-T. </w:t>
      </w:r>
      <w:r w:rsidR="008C468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epartementet har hjemmel i </w:t>
      </w:r>
      <w:hyperlink r:id="rId7" w:history="1">
        <w:r w:rsidR="00E5066F" w:rsidRPr="00F315E2">
          <w:rPr>
            <w:rStyle w:val="Hyperkobling"/>
            <w:rFonts w:ascii="Arial" w:hAnsi="Arial" w:cs="Arial"/>
          </w:rPr>
          <w:t>havne- og farvannsloven § 28</w:t>
        </w:r>
      </w:hyperlink>
      <w:r w:rsidR="00E50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til å utpeke TEN-T-havnene</w:t>
      </w:r>
      <w:r w:rsidR="008C468B">
        <w:rPr>
          <w:rFonts w:ascii="Arial" w:hAnsi="Arial" w:cs="Arial"/>
        </w:rPr>
        <w:t>.</w:t>
      </w:r>
      <w:r w:rsidR="008C468B" w:rsidRPr="008C468B">
        <w:rPr>
          <w:rFonts w:ascii="Arial" w:hAnsi="Arial" w:cs="Arial"/>
          <w:lang w:val="nb-NO"/>
        </w:rPr>
        <w:t xml:space="preserve"> Innlemmelse i nettverket vil innebære juridiske forpliktelser for havnene det gjelder, også fremtidige forpliktelser som vi ikke har oversikt over i dag. Samtidig har flere havner uttrykt et ønske om å innlemmes i nettverket selv om de ikke nødvendigvis oppfyller de objektive</w:t>
      </w:r>
      <w:r w:rsidR="008C468B">
        <w:rPr>
          <w:rFonts w:ascii="Arial" w:hAnsi="Arial" w:cs="Arial"/>
          <w:lang w:val="nb-NO"/>
        </w:rPr>
        <w:t xml:space="preserve"> </w:t>
      </w:r>
      <w:r w:rsidR="008C468B" w:rsidRPr="008C468B">
        <w:rPr>
          <w:rFonts w:ascii="Arial" w:hAnsi="Arial" w:cs="Arial"/>
          <w:lang w:val="nb-NO"/>
        </w:rPr>
        <w:t>passasjer- eller godskriteriene i forordningen, se mer om dette i punkt 3 nedenfor. Departementet ønsker derfor å legge opp til en frivillig løsning, hvor havne</w:t>
      </w:r>
      <w:r w:rsidR="00F315E2">
        <w:rPr>
          <w:rFonts w:ascii="Arial" w:hAnsi="Arial" w:cs="Arial"/>
          <w:lang w:val="nb-NO"/>
        </w:rPr>
        <w:t>r</w:t>
      </w:r>
      <w:r w:rsidR="008C468B" w:rsidRPr="008C468B">
        <w:rPr>
          <w:rFonts w:ascii="Arial" w:hAnsi="Arial" w:cs="Arial"/>
          <w:lang w:val="nb-NO"/>
        </w:rPr>
        <w:t xml:space="preserve"> som selv ønsker å inngå i nettverket, kan melde sin interesse</w:t>
      </w:r>
      <w:r w:rsidR="008C468B">
        <w:rPr>
          <w:rFonts w:ascii="Arial" w:hAnsi="Arial" w:cs="Arial"/>
          <w:lang w:val="nb-NO"/>
        </w:rPr>
        <w:t xml:space="preserve"> for å få status som TEN-T-havn.</w:t>
      </w:r>
    </w:p>
    <w:p w14:paraId="7C64C44B" w14:textId="29CF1D8C" w:rsidR="004F17D0" w:rsidRDefault="004F17D0" w:rsidP="002E0A2C">
      <w:pPr>
        <w:spacing w:after="240"/>
        <w:jc w:val="left"/>
        <w:rPr>
          <w:rFonts w:ascii="Arial" w:hAnsi="Arial" w:cs="Arial"/>
        </w:rPr>
      </w:pPr>
      <w:r w:rsidRPr="00753173">
        <w:rPr>
          <w:rFonts w:ascii="Arial" w:hAnsi="Arial" w:cs="Arial"/>
        </w:rPr>
        <w:t xml:space="preserve">På vegne av Nærings- og fiskeridepartementet inviterer </w:t>
      </w:r>
      <w:r w:rsidR="00F315E2">
        <w:rPr>
          <w:rFonts w:ascii="Arial" w:hAnsi="Arial" w:cs="Arial"/>
        </w:rPr>
        <w:t>Kystverket</w:t>
      </w:r>
      <w:r w:rsidR="00E50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derfor </w:t>
      </w:r>
      <w:r w:rsidR="009C331B">
        <w:rPr>
          <w:rFonts w:ascii="Arial" w:hAnsi="Arial" w:cs="Arial"/>
        </w:rPr>
        <w:t xml:space="preserve">alle </w:t>
      </w:r>
      <w:r>
        <w:rPr>
          <w:rFonts w:ascii="Arial" w:hAnsi="Arial" w:cs="Arial"/>
        </w:rPr>
        <w:t xml:space="preserve">havner </w:t>
      </w:r>
      <w:r w:rsidR="009C331B">
        <w:rPr>
          <w:rFonts w:ascii="Arial" w:hAnsi="Arial" w:cs="Arial"/>
        </w:rPr>
        <w:t xml:space="preserve">som ønsker status som TEN-T-havn, </w:t>
      </w:r>
      <w:r w:rsidR="00F315E2">
        <w:rPr>
          <w:rFonts w:ascii="Arial" w:hAnsi="Arial" w:cs="Arial"/>
        </w:rPr>
        <w:t xml:space="preserve">om </w:t>
      </w:r>
      <w:r w:rsidR="009C331B">
        <w:rPr>
          <w:rFonts w:ascii="Arial" w:hAnsi="Arial" w:cs="Arial"/>
        </w:rPr>
        <w:t xml:space="preserve">å melde sin interesse. Også eksisterende TEN-T-havner som ønsker å beholde status som TEN-T-havn, bes om å melde interesse </w:t>
      </w:r>
      <w:r w:rsidR="00F315E2">
        <w:rPr>
          <w:rFonts w:ascii="Arial" w:hAnsi="Arial" w:cs="Arial"/>
        </w:rPr>
        <w:t>for å være TEN-T-havn</w:t>
      </w:r>
      <w:r w:rsidR="009C33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99062D6" w14:textId="1EFDAF19" w:rsidR="004F17D0" w:rsidRPr="00252B0F" w:rsidRDefault="009C331B" w:rsidP="002E0A2C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4F17D0" w:rsidRPr="00252B0F">
        <w:rPr>
          <w:rFonts w:ascii="Arial" w:hAnsi="Arial" w:cs="Arial"/>
          <w:b/>
          <w:bCs/>
          <w:sz w:val="28"/>
          <w:szCs w:val="28"/>
        </w:rPr>
        <w:t>. HVA BETYR DET Å VÆRE TEN-T-HAVN?</w:t>
      </w:r>
    </w:p>
    <w:p w14:paraId="432C9A09" w14:textId="5D9BCDEC" w:rsidR="004F17D0" w:rsidRDefault="004F17D0" w:rsidP="002E0A2C">
      <w:pPr>
        <w:jc w:val="left"/>
        <w:rPr>
          <w:rFonts w:ascii="Arial" w:hAnsi="Arial" w:cs="Arial"/>
          <w:color w:val="202124"/>
          <w:shd w:val="clear" w:color="auto" w:fill="FFFFFF"/>
        </w:rPr>
      </w:pPr>
      <w:r w:rsidRPr="00753173">
        <w:rPr>
          <w:rFonts w:ascii="Arial" w:hAnsi="Arial" w:cs="Arial"/>
          <w:kern w:val="24"/>
        </w:rPr>
        <w:lastRenderedPageBreak/>
        <w:t xml:space="preserve">TEN-T-infrastrukturen må oppfylle forskjellige krav. Noen </w:t>
      </w:r>
      <w:r>
        <w:rPr>
          <w:rFonts w:ascii="Arial" w:hAnsi="Arial" w:cs="Arial"/>
          <w:kern w:val="24"/>
        </w:rPr>
        <w:t xml:space="preserve">av kravene </w:t>
      </w:r>
      <w:r w:rsidRPr="00753173">
        <w:rPr>
          <w:rFonts w:ascii="Arial" w:hAnsi="Arial" w:cs="Arial"/>
          <w:kern w:val="24"/>
        </w:rPr>
        <w:t>fr</w:t>
      </w:r>
      <w:r>
        <w:rPr>
          <w:rFonts w:ascii="Arial" w:hAnsi="Arial" w:cs="Arial"/>
          <w:kern w:val="24"/>
        </w:rPr>
        <w:t>a</w:t>
      </w:r>
      <w:r w:rsidRPr="00753173">
        <w:rPr>
          <w:rFonts w:ascii="Arial" w:hAnsi="Arial" w:cs="Arial"/>
          <w:kern w:val="24"/>
        </w:rPr>
        <w:t xml:space="preserve">mgår av </w:t>
      </w:r>
      <w:r>
        <w:rPr>
          <w:rFonts w:ascii="Arial" w:hAnsi="Arial" w:cs="Arial"/>
          <w:kern w:val="24"/>
        </w:rPr>
        <w:t xml:space="preserve">selve </w:t>
      </w:r>
      <w:r w:rsidR="009C331B">
        <w:rPr>
          <w:rFonts w:ascii="Arial" w:hAnsi="Arial" w:cs="Arial"/>
          <w:kern w:val="24"/>
        </w:rPr>
        <w:t>TEN-T-forordningen</w:t>
      </w:r>
      <w:r w:rsidRPr="00753173">
        <w:rPr>
          <w:rFonts w:ascii="Arial" w:hAnsi="Arial" w:cs="Arial"/>
          <w:kern w:val="24"/>
        </w:rPr>
        <w:t>, mens andre gis i fag-</w:t>
      </w:r>
      <w:r>
        <w:rPr>
          <w:rFonts w:ascii="Arial" w:hAnsi="Arial" w:cs="Arial"/>
          <w:kern w:val="24"/>
        </w:rPr>
        <w:t xml:space="preserve"> eller </w:t>
      </w:r>
      <w:r w:rsidRPr="00753173">
        <w:rPr>
          <w:rFonts w:ascii="Arial" w:hAnsi="Arial" w:cs="Arial"/>
          <w:kern w:val="24"/>
        </w:rPr>
        <w:t>sektorspesifikke rettsakter</w:t>
      </w:r>
      <w:r>
        <w:rPr>
          <w:rFonts w:ascii="Arial" w:hAnsi="Arial" w:cs="Arial"/>
          <w:kern w:val="24"/>
        </w:rPr>
        <w:t>, se liste nedenfor</w:t>
      </w:r>
      <w:r w:rsidRPr="00753173">
        <w:rPr>
          <w:rFonts w:ascii="Arial" w:hAnsi="Arial" w:cs="Arial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I framtiden kan ytterligere krav bli fastsatt.</w:t>
      </w:r>
    </w:p>
    <w:p w14:paraId="211E337F" w14:textId="4B29C5D7" w:rsidR="004F17D0" w:rsidRDefault="004F17D0" w:rsidP="002E0A2C">
      <w:pPr>
        <w:jc w:val="left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Formålet med kravene er å forbedre transportsystemet og bidra til grønn omstilling. Ikke desto mindre vil det å oppfylle kravene kunne bety økonomiske utlegg for eieren av havnen eller andre aktører </w:t>
      </w:r>
      <w:r w:rsidR="00DF3BC1">
        <w:rPr>
          <w:rFonts w:ascii="Arial" w:hAnsi="Arial" w:cs="Arial"/>
          <w:color w:val="202124"/>
          <w:shd w:val="clear" w:color="auto" w:fill="FFFFFF"/>
        </w:rPr>
        <w:t xml:space="preserve">i havna </w:t>
      </w:r>
      <w:r>
        <w:rPr>
          <w:rFonts w:ascii="Arial" w:hAnsi="Arial" w:cs="Arial"/>
          <w:color w:val="202124"/>
          <w:shd w:val="clear" w:color="auto" w:fill="FFFFFF"/>
        </w:rPr>
        <w:t>som eventuelt blir gjenstand for krav.</w:t>
      </w:r>
    </w:p>
    <w:p w14:paraId="1EAA5C04" w14:textId="288C49A0" w:rsidR="004F17D0" w:rsidRDefault="004F17D0" w:rsidP="002E0A2C">
      <w:pPr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Kystverket erfarer imidlertid at mange havneforetak ønsker at havnene deres skal inngå i TEN-T. De ser fordeler med dette, blant annet potensial for samarbeid og kompetanseutveksling med havner og andre aktører i EU. </w:t>
      </w:r>
      <w:r w:rsidRPr="00753173">
        <w:rPr>
          <w:rFonts w:ascii="Arial" w:hAnsi="Arial" w:cs="Arial"/>
        </w:rPr>
        <w:t xml:space="preserve">Samtidig </w:t>
      </w:r>
      <w:r>
        <w:rPr>
          <w:rFonts w:ascii="Arial" w:hAnsi="Arial" w:cs="Arial"/>
        </w:rPr>
        <w:t>synes flere å mene at kravene til TEN-T-infrastrukturen, eksempelvis krav om å tilby landstrøm, kanskje etter hvert vil tvinge seg frem for alle havner uavhengig av om de er TEN-T-havn eller ikke.</w:t>
      </w:r>
    </w:p>
    <w:p w14:paraId="0898C6DF" w14:textId="28F152F9" w:rsidR="004F17D0" w:rsidRPr="00753173" w:rsidRDefault="00E5066F" w:rsidP="002E0A2C">
      <w:pPr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F17D0" w:rsidRPr="00753173">
        <w:rPr>
          <w:rFonts w:ascii="Arial" w:hAnsi="Arial" w:cs="Arial"/>
        </w:rPr>
        <w:t xml:space="preserve"> </w:t>
      </w:r>
      <w:r w:rsidR="004F17D0">
        <w:rPr>
          <w:rFonts w:ascii="Arial" w:hAnsi="Arial" w:cs="Arial"/>
        </w:rPr>
        <w:t>TEN-T-</w:t>
      </w:r>
      <w:r w:rsidR="004F17D0" w:rsidRPr="00753173">
        <w:rPr>
          <w:rFonts w:ascii="Arial" w:hAnsi="Arial" w:cs="Arial"/>
        </w:rPr>
        <w:t>havner gjelder</w:t>
      </w:r>
      <w:r w:rsidR="009C331B">
        <w:rPr>
          <w:rFonts w:ascii="Arial" w:hAnsi="Arial" w:cs="Arial"/>
        </w:rPr>
        <w:t>:</w:t>
      </w:r>
      <w:r w:rsidR="004F17D0" w:rsidRPr="00753173">
        <w:rPr>
          <w:rFonts w:ascii="Arial" w:hAnsi="Arial" w:cs="Arial"/>
        </w:rPr>
        <w:t xml:space="preserve"> </w:t>
      </w:r>
    </w:p>
    <w:p w14:paraId="6811FC13" w14:textId="1C97B5FB" w:rsidR="004F17D0" w:rsidRDefault="009C331B" w:rsidP="002E0A2C">
      <w:pPr>
        <w:pStyle w:val="Listeavsnitt"/>
        <w:numPr>
          <w:ilvl w:val="0"/>
          <w:numId w:val="1"/>
        </w:numPr>
        <w:suppressAutoHyphens w:val="0"/>
        <w:spacing w:after="0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F17D0" w:rsidRPr="00753173">
        <w:rPr>
          <w:rFonts w:ascii="Arial" w:hAnsi="Arial" w:cs="Arial"/>
        </w:rPr>
        <w:t>rav om etablering av landstrømsanlegg for containerskip, passasjerskip (ro-ro og high speed) og andre passasjerskip (</w:t>
      </w:r>
      <w:r w:rsidR="004F17D0">
        <w:rPr>
          <w:rFonts w:ascii="Arial" w:hAnsi="Arial" w:cs="Arial"/>
        </w:rPr>
        <w:t>herunder</w:t>
      </w:r>
      <w:r w:rsidR="004F17D0" w:rsidRPr="00753173">
        <w:rPr>
          <w:rFonts w:ascii="Arial" w:hAnsi="Arial" w:cs="Arial"/>
        </w:rPr>
        <w:t xml:space="preserve"> cruise) som ligger til kai i mer enn to timer. Kravet omhandler kun skip større enn 5000 bruttotonn og for havner som har henholdsvis 100/40/25 anløp per år av slike skip</w:t>
      </w:r>
      <w:r w:rsidR="004F17D0">
        <w:rPr>
          <w:rFonts w:ascii="Arial" w:hAnsi="Arial" w:cs="Arial"/>
        </w:rPr>
        <w:t xml:space="preserve"> som ligger til kai i mer enn to timer. Anlegget skal kunne levere landstrøm til 90% av anløpene</w:t>
      </w:r>
      <w:r w:rsidR="004F17D0" w:rsidRPr="00753173">
        <w:rPr>
          <w:rFonts w:ascii="Arial" w:hAnsi="Arial" w:cs="Arial"/>
        </w:rPr>
        <w:t>.</w:t>
      </w:r>
      <w:r w:rsidR="004F17D0">
        <w:rPr>
          <w:rFonts w:ascii="Arial" w:hAnsi="Arial" w:cs="Arial"/>
        </w:rPr>
        <w:t xml:space="preserve"> Fristen for å etablere landstrømsanlegg er </w:t>
      </w:r>
      <w:r w:rsidR="004F17D0" w:rsidRPr="00753173">
        <w:rPr>
          <w:rFonts w:ascii="Arial" w:hAnsi="Arial" w:cs="Arial"/>
        </w:rPr>
        <w:t>31.12.29</w:t>
      </w:r>
      <w:r w:rsidR="004F17D0">
        <w:rPr>
          <w:rFonts w:ascii="Arial" w:hAnsi="Arial" w:cs="Arial"/>
        </w:rPr>
        <w:t xml:space="preserve">. For flere detaljer se </w:t>
      </w:r>
      <w:r w:rsidR="004F17D0" w:rsidRPr="00D04B1E">
        <w:rPr>
          <w:rFonts w:ascii="Arial" w:hAnsi="Arial" w:cs="Arial"/>
          <w:i/>
          <w:iCs/>
        </w:rPr>
        <w:t>Alternative Fuels Infrastructure Regulation</w:t>
      </w:r>
      <w:r w:rsidR="004F17D0" w:rsidRPr="008A1B68">
        <w:rPr>
          <w:rFonts w:ascii="Arial" w:hAnsi="Arial" w:cs="Arial"/>
        </w:rPr>
        <w:t xml:space="preserve"> (EU) 2023/1804</w:t>
      </w:r>
      <w:r w:rsidR="004F17D0">
        <w:rPr>
          <w:rFonts w:ascii="Arial" w:hAnsi="Arial" w:cs="Arial"/>
        </w:rPr>
        <w:t>.</w:t>
      </w:r>
    </w:p>
    <w:p w14:paraId="15006568" w14:textId="77777777" w:rsidR="004F17D0" w:rsidRDefault="004F17D0" w:rsidP="002E0A2C">
      <w:pPr>
        <w:suppressAutoHyphens w:val="0"/>
        <w:spacing w:after="0"/>
        <w:jc w:val="left"/>
        <w:rPr>
          <w:rFonts w:ascii="Arial" w:hAnsi="Arial" w:cs="Arial"/>
        </w:rPr>
      </w:pPr>
    </w:p>
    <w:p w14:paraId="4B3F0DF6" w14:textId="1745528E" w:rsidR="004F17D0" w:rsidRDefault="009C331B" w:rsidP="002E0A2C">
      <w:pPr>
        <w:pStyle w:val="Listeavsnitt"/>
        <w:numPr>
          <w:ilvl w:val="0"/>
          <w:numId w:val="1"/>
        </w:numPr>
        <w:suppressAutoHyphens w:val="0"/>
        <w:spacing w:line="259" w:lineRule="auto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F17D0" w:rsidRPr="00324C36">
        <w:rPr>
          <w:rFonts w:ascii="Arial" w:hAnsi="Arial" w:cs="Arial"/>
        </w:rPr>
        <w:t xml:space="preserve">or havner som håndterer godstrafikk: Krav om å ha minst én multimodal godsterminal åpen for alle operatører og brukere på ikke-diskriminerende vilkår, jf. </w:t>
      </w:r>
      <w:r>
        <w:rPr>
          <w:rFonts w:ascii="Arial" w:hAnsi="Arial" w:cs="Arial"/>
        </w:rPr>
        <w:t>TEN-T-forordningen</w:t>
      </w:r>
      <w:r w:rsidR="004F17D0" w:rsidRPr="00324C36">
        <w:rPr>
          <w:rFonts w:ascii="Arial" w:hAnsi="Arial" w:cs="Arial"/>
        </w:rPr>
        <w:t xml:space="preserve"> artikkel 26 og 27. </w:t>
      </w:r>
      <w:r w:rsidR="004F17D0">
        <w:rPr>
          <w:rFonts w:ascii="Arial" w:hAnsi="Arial" w:cs="Arial"/>
        </w:rPr>
        <w:t>”</w:t>
      </w:r>
      <w:r w:rsidR="004F17D0" w:rsidRPr="00324C36">
        <w:rPr>
          <w:rFonts w:ascii="Arial" w:hAnsi="Arial" w:cs="Arial"/>
        </w:rPr>
        <w:t>Multimodal godsterminal</w:t>
      </w:r>
      <w:r w:rsidR="004F17D0">
        <w:rPr>
          <w:rFonts w:ascii="Arial" w:hAnsi="Arial" w:cs="Arial"/>
        </w:rPr>
        <w:t>”</w:t>
      </w:r>
      <w:r w:rsidR="004F17D0" w:rsidRPr="00324C36">
        <w:rPr>
          <w:rFonts w:ascii="Arial" w:hAnsi="Arial" w:cs="Arial"/>
        </w:rPr>
        <w:t xml:space="preserve"> er definert som ”</w:t>
      </w:r>
      <w:r w:rsidR="004F17D0" w:rsidRPr="005C2E97">
        <w:rPr>
          <w:rFonts w:ascii="Arial" w:hAnsi="Arial" w:cs="Arial"/>
          <w:i/>
          <w:iCs/>
        </w:rPr>
        <w:t>et anlæg, der er udstyret til omladning mellem mindst to transportformer eller mellem to forskellige jernbanesystemer og til midlertidig oplagring af gods, f.eks. terminaler i indlandshavne eller søhavne langs indre vandveje og i lufthavne samt banegodsterminaler</w:t>
      </w:r>
      <w:r w:rsidR="004F17D0" w:rsidRPr="00324C36">
        <w:rPr>
          <w:rFonts w:ascii="Arial" w:hAnsi="Arial" w:cs="Arial"/>
        </w:rPr>
        <w:t xml:space="preserve">” i artikkel 3 i </w:t>
      </w:r>
      <w:r>
        <w:rPr>
          <w:rFonts w:ascii="Arial" w:hAnsi="Arial" w:cs="Arial"/>
        </w:rPr>
        <w:t>TEN-T-forordningen</w:t>
      </w:r>
      <w:r w:rsidR="004F17D0">
        <w:rPr>
          <w:rFonts w:ascii="Arial" w:hAnsi="Arial" w:cs="Arial"/>
        </w:rPr>
        <w:t xml:space="preserve">. </w:t>
      </w:r>
      <w:r w:rsidR="004F17D0" w:rsidRPr="00324C36">
        <w:rPr>
          <w:rFonts w:ascii="Arial" w:hAnsi="Arial" w:cs="Arial"/>
        </w:rPr>
        <w:t xml:space="preserve">Fristen er 31.12.30 for havner i kjernenettet og 31.12.50 for havner i det </w:t>
      </w:r>
      <w:r w:rsidR="00B13953">
        <w:rPr>
          <w:rFonts w:ascii="Arial" w:hAnsi="Arial" w:cs="Arial"/>
        </w:rPr>
        <w:t>utvidete</w:t>
      </w:r>
      <w:r w:rsidR="004F17D0" w:rsidRPr="00324C36">
        <w:rPr>
          <w:rFonts w:ascii="Arial" w:hAnsi="Arial" w:cs="Arial"/>
        </w:rPr>
        <w:t xml:space="preserve"> nettet.</w:t>
      </w:r>
    </w:p>
    <w:p w14:paraId="6D7EABDD" w14:textId="77777777" w:rsidR="002E170E" w:rsidRPr="002E170E" w:rsidRDefault="002E170E" w:rsidP="002E170E">
      <w:pPr>
        <w:pStyle w:val="Listeavsnitt"/>
        <w:rPr>
          <w:rFonts w:ascii="Arial" w:hAnsi="Arial" w:cs="Arial"/>
        </w:rPr>
      </w:pPr>
    </w:p>
    <w:p w14:paraId="349E8DF1" w14:textId="2570A423" w:rsidR="004F17D0" w:rsidRPr="00EE4BE1" w:rsidRDefault="009C331B" w:rsidP="002E0A2C">
      <w:pPr>
        <w:pStyle w:val="Listeavsnitt"/>
        <w:numPr>
          <w:ilvl w:val="0"/>
          <w:numId w:val="1"/>
        </w:numPr>
        <w:suppressAutoHyphens w:val="0"/>
        <w:spacing w:after="0"/>
        <w:contextualSpacing w:val="0"/>
        <w:jc w:val="left"/>
        <w:rPr>
          <w:rFonts w:ascii="Arial" w:hAnsi="Arial" w:cs="Arial"/>
        </w:rPr>
      </w:pPr>
      <w:r w:rsidRPr="00EE4BE1">
        <w:rPr>
          <w:rFonts w:ascii="Arial" w:hAnsi="Arial" w:cs="Arial"/>
        </w:rPr>
        <w:t>F</w:t>
      </w:r>
      <w:r w:rsidR="004F17D0" w:rsidRPr="00EE4BE1">
        <w:rPr>
          <w:rFonts w:ascii="Arial" w:hAnsi="Arial" w:cs="Arial"/>
        </w:rPr>
        <w:t>or TEN-T-havner med en samlet årlig lastet/losset godsmengde på mer enn 2 millioner tonn: Krav om tilknytning til TEN-T-jernbane og TEN-T-ve</w:t>
      </w:r>
      <w:r w:rsidR="00EE4BE1" w:rsidRPr="00EE4BE1">
        <w:rPr>
          <w:rFonts w:ascii="Arial" w:hAnsi="Arial" w:cs="Arial"/>
        </w:rPr>
        <w:t>i</w:t>
      </w:r>
      <w:r w:rsidR="004F17D0" w:rsidRPr="00EE4BE1">
        <w:rPr>
          <w:rFonts w:ascii="Arial" w:hAnsi="Arial" w:cs="Arial"/>
        </w:rPr>
        <w:t xml:space="preserve"> med mindre særlige geografiske eller betydelige fysiske begrensninger hindrer slik tilknytning. Fristen er 31.12.30 for havner i kjernenettet og 31.12.50 for havner i det </w:t>
      </w:r>
      <w:r w:rsidR="00B13953" w:rsidRPr="00EE4BE1">
        <w:rPr>
          <w:rFonts w:ascii="Arial" w:hAnsi="Arial" w:cs="Arial"/>
        </w:rPr>
        <w:t>utvidete</w:t>
      </w:r>
      <w:r w:rsidR="004F17D0" w:rsidRPr="00EE4BE1">
        <w:rPr>
          <w:rFonts w:ascii="Arial" w:hAnsi="Arial" w:cs="Arial"/>
        </w:rPr>
        <w:t xml:space="preserve"> nettet. </w:t>
      </w:r>
      <w:r w:rsidR="00EE4BE1" w:rsidRPr="00EE4BE1">
        <w:rPr>
          <w:rFonts w:ascii="Arial" w:hAnsi="Arial" w:cs="Arial"/>
        </w:rPr>
        <w:t xml:space="preserve">Medlemsstatene kan </w:t>
      </w:r>
      <w:r w:rsidR="004F17D0" w:rsidRPr="00EE4BE1">
        <w:rPr>
          <w:rFonts w:ascii="Arial" w:hAnsi="Arial" w:cs="Arial"/>
        </w:rPr>
        <w:t xml:space="preserve">be om unntak basert på sosioøkonomisk kost-nytteanalyse og negativ virkning på miljø og biodiversitet, jf. artikkel 26 og 27 </w:t>
      </w:r>
      <w:r w:rsidRPr="00EE4BE1">
        <w:rPr>
          <w:rFonts w:ascii="Arial" w:hAnsi="Arial" w:cs="Arial"/>
        </w:rPr>
        <w:t>TEN-T-forordningen</w:t>
      </w:r>
      <w:r w:rsidR="004F17D0" w:rsidRPr="00EE4BE1">
        <w:rPr>
          <w:rFonts w:ascii="Arial" w:hAnsi="Arial" w:cs="Arial"/>
        </w:rPr>
        <w:t>.</w:t>
      </w:r>
    </w:p>
    <w:p w14:paraId="41B81438" w14:textId="77777777" w:rsidR="004F17D0" w:rsidRPr="008C55DD" w:rsidRDefault="004F17D0" w:rsidP="002E0A2C">
      <w:pPr>
        <w:pStyle w:val="Listeavsnitt"/>
        <w:suppressAutoHyphens w:val="0"/>
        <w:spacing w:after="0"/>
        <w:contextualSpacing w:val="0"/>
        <w:jc w:val="left"/>
        <w:rPr>
          <w:rFonts w:ascii="Arial" w:hAnsi="Arial" w:cs="Arial"/>
        </w:rPr>
      </w:pPr>
    </w:p>
    <w:p w14:paraId="68FEAD40" w14:textId="0ABB4FF1" w:rsidR="004F17D0" w:rsidRDefault="009C331B" w:rsidP="002E0A2C">
      <w:pPr>
        <w:pStyle w:val="Listeavsnitt"/>
        <w:numPr>
          <w:ilvl w:val="0"/>
          <w:numId w:val="1"/>
        </w:numPr>
        <w:suppressAutoHyphens w:val="0"/>
        <w:spacing w:after="240" w:line="259" w:lineRule="auto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F17D0" w:rsidRPr="004F17D0">
        <w:rPr>
          <w:rFonts w:ascii="Arial" w:hAnsi="Arial" w:cs="Arial"/>
        </w:rPr>
        <w:t>likt til å følge havneforordningen, som setter rammer for tjenesteleverandørers adgang til å levere tjenester i TEN-T-havnene samt inneholder bestemmelser om regnskapsføring og prisfastsettelse og plikt til å kreve inn infrastrukturvederlag fra fartøy som anløper havna. For nærmere detaljer, se forordning (EU) 2017/352 og den norske forskriften FOR-2019-06-11-861.</w:t>
      </w:r>
    </w:p>
    <w:p w14:paraId="025CD881" w14:textId="285586E1" w:rsidR="004F17D0" w:rsidRPr="009C331B" w:rsidRDefault="009C331B" w:rsidP="009C331B">
      <w:pPr>
        <w:suppressAutoHyphens w:val="0"/>
        <w:spacing w:after="24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</w:t>
      </w:r>
      <w:r w:rsidR="004F17D0" w:rsidRPr="009C331B">
        <w:rPr>
          <w:rFonts w:ascii="Arial" w:hAnsi="Arial" w:cs="Arial"/>
        </w:rPr>
        <w:t xml:space="preserve">lere konsekvenser av status som TEN-T-havn kan komme dersom det vedtas nye regler som knytter rettsvirkninger til slik status. </w:t>
      </w:r>
    </w:p>
    <w:p w14:paraId="7E58FB32" w14:textId="0DAB580E" w:rsidR="00DF3BC1" w:rsidRDefault="004F17D0" w:rsidP="002E0A2C">
      <w:pPr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Det presiseres at en ikke planlegger å </w:t>
      </w:r>
      <w:r w:rsidRPr="00753173">
        <w:rPr>
          <w:rFonts w:ascii="Arial" w:hAnsi="Arial" w:cs="Arial"/>
        </w:rPr>
        <w:t xml:space="preserve">etablere noen finansieringsordning for oppfyllelse av TEN-T-krav i </w:t>
      </w:r>
      <w:r>
        <w:rPr>
          <w:rFonts w:ascii="Arial" w:hAnsi="Arial" w:cs="Arial"/>
        </w:rPr>
        <w:t xml:space="preserve">det norske </w:t>
      </w:r>
      <w:r w:rsidRPr="00753173">
        <w:rPr>
          <w:rFonts w:ascii="Arial" w:hAnsi="Arial" w:cs="Arial"/>
        </w:rPr>
        <w:t xml:space="preserve">statsbudsjettet. </w:t>
      </w:r>
      <w:r>
        <w:rPr>
          <w:rFonts w:ascii="Arial" w:hAnsi="Arial" w:cs="Arial"/>
        </w:rPr>
        <w:t xml:space="preserve">Krav til TEN-T-havnene kan gjennomføres i norsk rett med hjemmel i havne- og farvannsloven § 28 </w:t>
      </w:r>
      <w:r w:rsidR="009C331B">
        <w:rPr>
          <w:rFonts w:ascii="Arial" w:hAnsi="Arial" w:cs="Arial"/>
        </w:rPr>
        <w:t>eller ev</w:t>
      </w:r>
      <w:r w:rsidR="00EE4BE1">
        <w:rPr>
          <w:rFonts w:ascii="Arial" w:hAnsi="Arial" w:cs="Arial"/>
        </w:rPr>
        <w:t>.</w:t>
      </w:r>
      <w:r w:rsidR="009C331B">
        <w:rPr>
          <w:rFonts w:ascii="Arial" w:hAnsi="Arial" w:cs="Arial"/>
        </w:rPr>
        <w:t xml:space="preserve"> annet relevant regelverk, </w:t>
      </w:r>
      <w:r>
        <w:rPr>
          <w:rFonts w:ascii="Arial" w:hAnsi="Arial" w:cs="Arial"/>
        </w:rPr>
        <w:t xml:space="preserve">og må da </w:t>
      </w:r>
      <w:r w:rsidRPr="00753173">
        <w:rPr>
          <w:rFonts w:ascii="Arial" w:hAnsi="Arial" w:cs="Arial"/>
        </w:rPr>
        <w:t xml:space="preserve">oppfylles av </w:t>
      </w:r>
      <w:r>
        <w:rPr>
          <w:rFonts w:ascii="Arial" w:hAnsi="Arial" w:cs="Arial"/>
        </w:rPr>
        <w:t>aktøren selv</w:t>
      </w:r>
      <w:r w:rsidRPr="00753173">
        <w:rPr>
          <w:rFonts w:ascii="Arial" w:hAnsi="Arial" w:cs="Arial"/>
        </w:rPr>
        <w:t>.</w:t>
      </w:r>
    </w:p>
    <w:p w14:paraId="456FB999" w14:textId="4646C4AB" w:rsidR="004F17D0" w:rsidRPr="00252B0F" w:rsidRDefault="009C331B" w:rsidP="002E170E">
      <w:pPr>
        <w:spacing w:after="24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4F17D0" w:rsidRPr="00252B0F">
        <w:rPr>
          <w:rFonts w:ascii="Arial" w:hAnsi="Arial" w:cs="Arial"/>
          <w:b/>
          <w:bCs/>
          <w:sz w:val="28"/>
          <w:szCs w:val="28"/>
        </w:rPr>
        <w:t>. HVA VEKTLEGGES VED VALGET AV NORSKE TEN-T-HAVNER?</w:t>
      </w:r>
    </w:p>
    <w:p w14:paraId="4A6602F5" w14:textId="2A4A15B1" w:rsidR="004F17D0" w:rsidRPr="00935024" w:rsidRDefault="009C331B" w:rsidP="002E0A2C">
      <w:pPr>
        <w:jc w:val="left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TEN-T-forordningen</w:t>
      </w:r>
      <w:r w:rsidR="004F17D0" w:rsidRPr="00243E7C">
        <w:rPr>
          <w:rFonts w:ascii="Arial" w:hAnsi="Arial" w:cs="Arial"/>
          <w:lang w:val="nb-NO"/>
        </w:rPr>
        <w:t xml:space="preserve"> artikkel 25 nr. 4 angir </w:t>
      </w:r>
      <w:r w:rsidR="004F17D0">
        <w:rPr>
          <w:rFonts w:ascii="Arial" w:hAnsi="Arial" w:cs="Arial"/>
          <w:lang w:val="nb-NO"/>
        </w:rPr>
        <w:t>kriterie</w:t>
      </w:r>
      <w:r w:rsidR="002E170E">
        <w:rPr>
          <w:rFonts w:ascii="Arial" w:hAnsi="Arial" w:cs="Arial"/>
          <w:lang w:val="nb-NO"/>
        </w:rPr>
        <w:t>r</w:t>
      </w:r>
      <w:r w:rsidR="004F17D0">
        <w:rPr>
          <w:rFonts w:ascii="Arial" w:hAnsi="Arial" w:cs="Arial"/>
          <w:lang w:val="nb-NO"/>
        </w:rPr>
        <w:t xml:space="preserve"> for å være </w:t>
      </w:r>
      <w:r w:rsidR="004F17D0" w:rsidRPr="00243E7C">
        <w:rPr>
          <w:rFonts w:ascii="Arial" w:hAnsi="Arial" w:cs="Arial"/>
          <w:lang w:val="nb-NO"/>
        </w:rPr>
        <w:t>TEN-T-havn</w:t>
      </w:r>
      <w:r w:rsidR="00842A9F">
        <w:rPr>
          <w:rFonts w:ascii="Arial" w:hAnsi="Arial" w:cs="Arial"/>
          <w:lang w:val="nb-NO"/>
        </w:rPr>
        <w:t xml:space="preserve"> (dansk versjon)</w:t>
      </w:r>
      <w:r w:rsidR="001F577F">
        <w:rPr>
          <w:rFonts w:ascii="Arial" w:hAnsi="Arial" w:cs="Arial"/>
          <w:lang w:val="nb-NO"/>
        </w:rPr>
        <w:t>:</w:t>
      </w:r>
    </w:p>
    <w:p w14:paraId="468C3D95" w14:textId="77777777" w:rsidR="004F17D0" w:rsidRPr="00A30A1D" w:rsidRDefault="004F17D0" w:rsidP="002E0A2C">
      <w:pPr>
        <w:ind w:left="708" w:firstLine="1"/>
        <w:jc w:val="left"/>
        <w:rPr>
          <w:rFonts w:ascii="Arial" w:hAnsi="Arial" w:cs="Arial"/>
        </w:rPr>
      </w:pPr>
      <w:r w:rsidRPr="00A30A1D">
        <w:rPr>
          <w:rFonts w:ascii="Arial" w:hAnsi="Arial" w:cs="Arial"/>
        </w:rPr>
        <w:t xml:space="preserve">4. En søhavn indgår i det samlede net, hvis den opfylder mindst én af følgende betingelser: </w:t>
      </w:r>
    </w:p>
    <w:p w14:paraId="0D234909" w14:textId="685E5037" w:rsidR="004F17D0" w:rsidRPr="00A30A1D" w:rsidRDefault="004F17D0" w:rsidP="002E0A2C">
      <w:pPr>
        <w:ind w:left="706"/>
        <w:jc w:val="left"/>
        <w:rPr>
          <w:rFonts w:ascii="Arial" w:hAnsi="Arial" w:cs="Arial"/>
        </w:rPr>
      </w:pPr>
      <w:r w:rsidRPr="00A30A1D">
        <w:rPr>
          <w:rFonts w:ascii="Arial" w:hAnsi="Arial" w:cs="Arial"/>
        </w:rPr>
        <w:t xml:space="preserve">a) dens samlede årlige passagerantal overstiger 0,1 % af det samlede årlige passagerantal i alle Unionens søhavne, idet referencetallet for denne samlede mængde er det seneste </w:t>
      </w:r>
      <w:r w:rsidRPr="006C7C6B">
        <w:rPr>
          <w:rFonts w:ascii="Arial" w:hAnsi="Arial" w:cs="Arial"/>
        </w:rPr>
        <w:t>tilgængelige gennemsnit over tre år ifølge statistikker offentliggjort af Eurostat</w:t>
      </w:r>
      <w:r w:rsidR="006C7C6B">
        <w:rPr>
          <w:rFonts w:ascii="Arial" w:hAnsi="Arial" w:cs="Arial"/>
        </w:rPr>
        <w:t>.</w:t>
      </w:r>
      <w:r w:rsidRPr="006C7C6B">
        <w:rPr>
          <w:rFonts w:ascii="Arial" w:hAnsi="Arial" w:cs="Arial"/>
        </w:rPr>
        <w:t xml:space="preserve"> </w:t>
      </w:r>
      <w:r w:rsidR="006C7C6B" w:rsidRPr="006C7C6B">
        <w:rPr>
          <w:rFonts w:ascii="Arial" w:hAnsi="Arial" w:cs="Arial"/>
        </w:rPr>
        <w:t>[</w:t>
      </w:r>
      <w:r w:rsidR="006C7C6B" w:rsidRPr="006C7C6B">
        <w:rPr>
          <w:rFonts w:ascii="Arial" w:hAnsi="Arial" w:cs="Arial"/>
          <w:i/>
          <w:iCs/>
        </w:rPr>
        <w:t>Samlet gjennomsnittlig passasjerantall iflg. Eurostat for 2021-2023 er 345 603 000, Kystverket anm.</w:t>
      </w:r>
      <w:r w:rsidR="006C7C6B" w:rsidRPr="006C7C6B">
        <w:rPr>
          <w:rFonts w:ascii="Arial" w:hAnsi="Arial" w:cs="Arial"/>
        </w:rPr>
        <w:t>]</w:t>
      </w:r>
      <w:r w:rsidR="006C7C6B" w:rsidRPr="006C7C6B">
        <w:rPr>
          <w:rFonts w:ascii="Arial" w:hAnsi="Arial" w:cs="Arial"/>
          <w:b/>
          <w:bCs/>
        </w:rPr>
        <w:t xml:space="preserve">  </w:t>
      </w:r>
    </w:p>
    <w:p w14:paraId="1DB591D3" w14:textId="77777777" w:rsidR="004F17D0" w:rsidRPr="00A30A1D" w:rsidRDefault="004F17D0" w:rsidP="002E0A2C">
      <w:pPr>
        <w:ind w:left="707"/>
        <w:jc w:val="left"/>
        <w:rPr>
          <w:rFonts w:ascii="Arial" w:hAnsi="Arial" w:cs="Arial"/>
        </w:rPr>
      </w:pPr>
      <w:r w:rsidRPr="00A30A1D">
        <w:rPr>
          <w:rFonts w:ascii="Arial" w:hAnsi="Arial" w:cs="Arial"/>
        </w:rPr>
        <w:t xml:space="preserve">b) dens samlede årlige godsmængde i forbindelse med håndtering af bulkgods eller non-bulkgods overstiger 0,1 % af den tilsvarende samlede årlige godsmængde, der håndteres i alle Unionens søhavne, idet referencetallet for denne samlede mængde er det seneste tilgængelige gennemsnit over tre år ifølge statistikker offentliggjort af Eurostat </w:t>
      </w:r>
    </w:p>
    <w:p w14:paraId="59A7FDEE" w14:textId="79EE5E0E" w:rsidR="004F17D0" w:rsidRPr="00A30A1D" w:rsidRDefault="004F17D0" w:rsidP="002E0A2C">
      <w:pPr>
        <w:ind w:left="707"/>
        <w:jc w:val="left"/>
        <w:rPr>
          <w:rFonts w:ascii="Arial" w:hAnsi="Arial" w:cs="Arial"/>
        </w:rPr>
      </w:pPr>
      <w:r w:rsidRPr="00A30A1D">
        <w:rPr>
          <w:rFonts w:ascii="Arial" w:hAnsi="Arial" w:cs="Arial"/>
        </w:rPr>
        <w:t xml:space="preserve">c) dens samlede årlige godsmængde i forbindelse med håndtering af bulkgods og/eller non-bulkgods overstiger årligt 500 000 ton og </w:t>
      </w:r>
      <w:bookmarkStart w:id="0" w:name="_Hlk184643903"/>
      <w:r w:rsidRPr="00A30A1D">
        <w:rPr>
          <w:rFonts w:ascii="Arial" w:hAnsi="Arial" w:cs="Arial"/>
        </w:rPr>
        <w:t xml:space="preserve">dens bidrag til diversificeringen af EU's energiforsyning og til fremskyndelsen af udrulningen af </w:t>
      </w:r>
      <w:r w:rsidR="00252B0F">
        <w:rPr>
          <w:rFonts w:ascii="Arial" w:hAnsi="Arial" w:cs="Arial"/>
        </w:rPr>
        <w:t>fornybar</w:t>
      </w:r>
      <w:r w:rsidRPr="00A30A1D">
        <w:rPr>
          <w:rFonts w:ascii="Arial" w:hAnsi="Arial" w:cs="Arial"/>
        </w:rPr>
        <w:t xml:space="preserve"> energi er en af havnens hovedaktiviteter, </w:t>
      </w:r>
      <w:bookmarkEnd w:id="0"/>
      <w:r w:rsidRPr="00A30A1D">
        <w:rPr>
          <w:rFonts w:ascii="Arial" w:hAnsi="Arial" w:cs="Arial"/>
        </w:rPr>
        <w:t xml:space="preserve">idet referencetallet for denne samlede mængde er det seneste tilgængelige gennemsnit over tre år ifølge statistikker offentliggjort af </w:t>
      </w:r>
      <w:r w:rsidRPr="006C7C6B">
        <w:rPr>
          <w:rFonts w:ascii="Arial" w:hAnsi="Arial" w:cs="Arial"/>
        </w:rPr>
        <w:t>Eurostat</w:t>
      </w:r>
      <w:r w:rsidR="006C7C6B">
        <w:rPr>
          <w:rFonts w:ascii="Arial" w:hAnsi="Arial" w:cs="Arial"/>
        </w:rPr>
        <w:t>.</w:t>
      </w:r>
      <w:r w:rsidRPr="006C7C6B">
        <w:rPr>
          <w:rFonts w:ascii="Arial" w:hAnsi="Arial" w:cs="Arial"/>
        </w:rPr>
        <w:t xml:space="preserve"> </w:t>
      </w:r>
      <w:r w:rsidR="006C7C6B" w:rsidRPr="006C7C6B">
        <w:rPr>
          <w:rFonts w:ascii="Arial" w:hAnsi="Arial" w:cs="Arial"/>
        </w:rPr>
        <w:t>[</w:t>
      </w:r>
      <w:r w:rsidR="006C7C6B" w:rsidRPr="006C7C6B">
        <w:rPr>
          <w:rFonts w:ascii="Arial" w:hAnsi="Arial" w:cs="Arial"/>
          <w:i/>
          <w:iCs/>
        </w:rPr>
        <w:t>Samlet gjennomsnittlig godstransport iflg. Eurostat for 2021-2023 er 2 001 389 tonn for bulk og 1 399 872 tonn for non-bulk, Kystverket anm.</w:t>
      </w:r>
      <w:r w:rsidR="006C7C6B" w:rsidRPr="006C7C6B">
        <w:rPr>
          <w:rFonts w:ascii="Arial" w:hAnsi="Arial" w:cs="Arial"/>
        </w:rPr>
        <w:t>]</w:t>
      </w:r>
    </w:p>
    <w:p w14:paraId="1CC568BB" w14:textId="77777777" w:rsidR="004F17D0" w:rsidRPr="00A30A1D" w:rsidRDefault="004F17D0" w:rsidP="002E0A2C">
      <w:pPr>
        <w:ind w:left="707"/>
        <w:jc w:val="left"/>
        <w:rPr>
          <w:rFonts w:ascii="Arial" w:hAnsi="Arial" w:cs="Arial"/>
        </w:rPr>
      </w:pPr>
      <w:r w:rsidRPr="00A30A1D">
        <w:rPr>
          <w:rFonts w:ascii="Arial" w:hAnsi="Arial" w:cs="Arial"/>
        </w:rPr>
        <w:t xml:space="preserve">d) den er beliggende på en ø og er det eneste adgangspunkt til en NUTS 3-region i det samlede net som omhandlet i artikel 3 i forordning (EF) nr. 1059/2003, </w:t>
      </w:r>
      <w:r w:rsidRPr="00A30A1D">
        <w:rPr>
          <w:rFonts w:ascii="Arial" w:hAnsi="Arial" w:cs="Arial"/>
          <w:u w:val="single"/>
        </w:rPr>
        <w:t>[</w:t>
      </w:r>
      <w:r w:rsidRPr="00A30A1D">
        <w:rPr>
          <w:rFonts w:ascii="Arial" w:hAnsi="Arial" w:cs="Arial"/>
          <w:i/>
          <w:iCs/>
        </w:rPr>
        <w:t>dette kriteriet er ikke aktuelt i Norge, Kystverket anm.</w:t>
      </w:r>
      <w:r w:rsidRPr="00A30A1D">
        <w:rPr>
          <w:rFonts w:ascii="Arial" w:hAnsi="Arial" w:cs="Arial"/>
        </w:rPr>
        <w:t xml:space="preserve">] eller </w:t>
      </w:r>
    </w:p>
    <w:p w14:paraId="5C4F9C88" w14:textId="77777777" w:rsidR="004F17D0" w:rsidRPr="00A30A1D" w:rsidRDefault="004F17D0" w:rsidP="002E0A2C">
      <w:pPr>
        <w:ind w:left="707"/>
        <w:jc w:val="left"/>
        <w:rPr>
          <w:rFonts w:ascii="Arial" w:hAnsi="Arial" w:cs="Arial"/>
        </w:rPr>
      </w:pPr>
      <w:r w:rsidRPr="00A30A1D">
        <w:rPr>
          <w:rFonts w:ascii="Arial" w:hAnsi="Arial" w:cs="Arial"/>
        </w:rPr>
        <w:t>e) den er beliggende i en region i den yderste periferi eller i et randområde uden for en radius af 200 km [</w:t>
      </w:r>
      <w:r w:rsidRPr="00A30A1D">
        <w:rPr>
          <w:rFonts w:ascii="Arial" w:hAnsi="Arial" w:cs="Arial"/>
          <w:i/>
          <w:iCs/>
        </w:rPr>
        <w:t>langs veg, Kystverket anm.</w:t>
      </w:r>
      <w:r w:rsidRPr="00A30A1D">
        <w:rPr>
          <w:rFonts w:ascii="Arial" w:hAnsi="Arial" w:cs="Arial"/>
        </w:rPr>
        <w:t>] fra den nærmeste anden havn i det samlede net.</w:t>
      </w:r>
    </w:p>
    <w:p w14:paraId="25A82447" w14:textId="0720080C" w:rsidR="007551B3" w:rsidRDefault="00E16AE9" w:rsidP="002E0A2C">
      <w:pPr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>EU-</w:t>
      </w:r>
      <w:r w:rsidR="001F577F">
        <w:rPr>
          <w:rFonts w:ascii="Arial" w:hAnsi="Arial" w:cs="Arial"/>
        </w:rPr>
        <w:t>k</w:t>
      </w:r>
      <w:r>
        <w:rPr>
          <w:rFonts w:ascii="Arial" w:hAnsi="Arial" w:cs="Arial"/>
        </w:rPr>
        <w:t>ommisjonen har ut</w:t>
      </w:r>
      <w:r w:rsidR="001F577F">
        <w:rPr>
          <w:rFonts w:ascii="Arial" w:hAnsi="Arial" w:cs="Arial"/>
        </w:rPr>
        <w:t>arbeidet</w:t>
      </w:r>
      <w:r>
        <w:rPr>
          <w:rFonts w:ascii="Arial" w:hAnsi="Arial" w:cs="Arial"/>
        </w:rPr>
        <w:t xml:space="preserve"> et eget dokument som blant annet tar for seg hvilke havner som kan utpekes som </w:t>
      </w:r>
      <w:r w:rsidRPr="007551B3">
        <w:rPr>
          <w:rFonts w:ascii="Arial" w:hAnsi="Arial" w:cs="Arial"/>
          <w:i/>
          <w:iCs/>
        </w:rPr>
        <w:t>kjernehavner</w:t>
      </w:r>
      <w:r>
        <w:rPr>
          <w:rFonts w:ascii="Arial" w:hAnsi="Arial" w:cs="Arial"/>
        </w:rPr>
        <w:t xml:space="preserve">, se link nederst. </w:t>
      </w:r>
      <w:r w:rsidR="007551B3">
        <w:rPr>
          <w:rFonts w:ascii="Arial" w:hAnsi="Arial" w:cs="Arial"/>
        </w:rPr>
        <w:t xml:space="preserve">Her fremgår det blant annet at havner med samlet årlig godtransport på minst 1 % av EU-total, kan utpekes som kjernehavn. </w:t>
      </w:r>
    </w:p>
    <w:p w14:paraId="65C56009" w14:textId="015DC0D2" w:rsidR="002E0A2C" w:rsidRDefault="002E0A2C" w:rsidP="002E0A2C">
      <w:pPr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De fleste norske havnene oppfyller ikke gods- og passasjerkriteriene ovenfor, men kan være aktuelle å ha med som TEN-T-havn likevel for å få i stand et nettverk. En vil da ta hensyn til andre forhold ved havnene, for eksempel </w:t>
      </w:r>
      <w:r w:rsidRPr="000C1E55">
        <w:rPr>
          <w:rFonts w:ascii="Arial" w:hAnsi="Arial" w:cs="Arial"/>
        </w:rPr>
        <w:t>havnenes kobling opp mot det eksisterende TEN-T-nettet (ve</w:t>
      </w:r>
      <w:r w:rsidR="001F577F">
        <w:rPr>
          <w:rFonts w:ascii="Arial" w:hAnsi="Arial" w:cs="Arial"/>
        </w:rPr>
        <w:t>i</w:t>
      </w:r>
      <w:r w:rsidRPr="000C1E55">
        <w:rPr>
          <w:rFonts w:ascii="Arial" w:hAnsi="Arial" w:cs="Arial"/>
        </w:rPr>
        <w:t xml:space="preserve">er, jernbane og andre TEN-T-havner) og </w:t>
      </w:r>
      <w:r w:rsidRPr="000C1E55">
        <w:rPr>
          <w:rFonts w:ascii="Arial" w:hAnsi="Arial" w:cs="Arial"/>
        </w:rPr>
        <w:lastRenderedPageBreak/>
        <w:t>havnenes rolle regionalt og nasjonalt</w:t>
      </w:r>
      <w:r>
        <w:rPr>
          <w:rFonts w:ascii="Arial" w:hAnsi="Arial" w:cs="Arial"/>
        </w:rPr>
        <w:t xml:space="preserve">, </w:t>
      </w:r>
      <w:r w:rsidR="001F577F">
        <w:rPr>
          <w:rFonts w:ascii="Arial" w:hAnsi="Arial" w:cs="Arial"/>
        </w:rPr>
        <w:t>inkludert</w:t>
      </w:r>
      <w:r>
        <w:rPr>
          <w:rFonts w:ascii="Arial" w:hAnsi="Arial" w:cs="Arial"/>
        </w:rPr>
        <w:t xml:space="preserve"> i sikkerhets- og beredskapssammenheng</w:t>
      </w:r>
      <w:r w:rsidRPr="000C1E55">
        <w:rPr>
          <w:rFonts w:ascii="Arial" w:hAnsi="Arial" w:cs="Arial"/>
        </w:rPr>
        <w:t>. Gods- og passasjer</w:t>
      </w:r>
      <w:r w:rsidR="00EA7184">
        <w:rPr>
          <w:rFonts w:ascii="Arial" w:hAnsi="Arial" w:cs="Arial"/>
        </w:rPr>
        <w:t>volumene</w:t>
      </w:r>
      <w:r w:rsidRPr="000C1E55">
        <w:rPr>
          <w:rFonts w:ascii="Arial" w:hAnsi="Arial" w:cs="Arial"/>
        </w:rPr>
        <w:t xml:space="preserve"> vil uansett være viktig</w:t>
      </w:r>
      <w:r w:rsidR="001F577F">
        <w:rPr>
          <w:rFonts w:ascii="Arial" w:hAnsi="Arial" w:cs="Arial"/>
        </w:rPr>
        <w:t xml:space="preserve"> i vurderingen av om en havn skal inngå i nettverket med henvisning til artikkkel 25 nr. 4 bokstav e).</w:t>
      </w:r>
    </w:p>
    <w:p w14:paraId="0977AC40" w14:textId="679BF3FC" w:rsidR="001F577F" w:rsidRDefault="001F577F" w:rsidP="001F577F">
      <w:pPr>
        <w:spacing w:after="240"/>
        <w:jc w:val="left"/>
        <w:rPr>
          <w:rFonts w:ascii="Arial" w:hAnsi="Arial" w:cs="Arial"/>
        </w:rPr>
      </w:pPr>
      <w:r w:rsidRPr="00753173">
        <w:rPr>
          <w:rFonts w:ascii="Arial" w:hAnsi="Arial" w:cs="Arial"/>
        </w:rPr>
        <w:t xml:space="preserve">Det er </w:t>
      </w:r>
      <w:r>
        <w:rPr>
          <w:rFonts w:ascii="Arial" w:hAnsi="Arial" w:cs="Arial"/>
        </w:rPr>
        <w:t xml:space="preserve">viktig å understreke at Norge kan utvise et visst skjønn med hensyn til hvilke havner vi ønsker å utpeke til å være del av TEN-T-nettverket. </w:t>
      </w:r>
    </w:p>
    <w:p w14:paraId="13619FDF" w14:textId="47704CEB" w:rsidR="004F17D0" w:rsidRPr="00252B0F" w:rsidRDefault="001F577F" w:rsidP="002E0A2C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4F17D0" w:rsidRPr="00252B0F">
        <w:rPr>
          <w:rFonts w:ascii="Arial" w:hAnsi="Arial" w:cs="Arial"/>
          <w:b/>
          <w:bCs/>
          <w:sz w:val="28"/>
          <w:szCs w:val="28"/>
        </w:rPr>
        <w:t xml:space="preserve">. </w:t>
      </w:r>
      <w:r w:rsidR="009A5ED5" w:rsidRPr="00252B0F">
        <w:rPr>
          <w:rFonts w:ascii="Arial" w:hAnsi="Arial" w:cs="Arial"/>
          <w:b/>
          <w:bCs/>
          <w:sz w:val="28"/>
          <w:szCs w:val="28"/>
        </w:rPr>
        <w:t>FRIST</w:t>
      </w:r>
      <w:r>
        <w:rPr>
          <w:rFonts w:ascii="Arial" w:hAnsi="Arial" w:cs="Arial"/>
          <w:b/>
          <w:bCs/>
          <w:sz w:val="28"/>
          <w:szCs w:val="28"/>
        </w:rPr>
        <w:t xml:space="preserve"> FOR Å MELDE INTERESSE</w:t>
      </w:r>
    </w:p>
    <w:p w14:paraId="27D7BEC6" w14:textId="3179846A" w:rsidR="004F17D0" w:rsidRDefault="001F577F" w:rsidP="002E0A2C">
      <w:pPr>
        <w:spacing w:after="2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Tilbakemeldinger om interesse for å </w:t>
      </w:r>
      <w:r w:rsidR="009A5ED5">
        <w:rPr>
          <w:rFonts w:ascii="Arial" w:hAnsi="Arial" w:cs="Arial"/>
        </w:rPr>
        <w:t xml:space="preserve">få status som </w:t>
      </w:r>
      <w:r w:rsidR="004F17D0">
        <w:rPr>
          <w:rFonts w:ascii="Arial" w:hAnsi="Arial" w:cs="Arial"/>
        </w:rPr>
        <w:t xml:space="preserve">TEN-T-havn skal følge fastsatt mal og sendes til Kystverket. Fristen for å </w:t>
      </w:r>
      <w:r>
        <w:rPr>
          <w:rFonts w:ascii="Arial" w:hAnsi="Arial" w:cs="Arial"/>
        </w:rPr>
        <w:t xml:space="preserve">gi tilbakemelding </w:t>
      </w:r>
      <w:r w:rsidR="004F17D0">
        <w:rPr>
          <w:rFonts w:ascii="Arial" w:hAnsi="Arial" w:cs="Arial"/>
        </w:rPr>
        <w:t xml:space="preserve">er </w:t>
      </w:r>
      <w:r w:rsidR="00C80D51">
        <w:rPr>
          <w:rFonts w:ascii="Arial" w:hAnsi="Arial" w:cs="Arial"/>
          <w:b/>
          <w:bCs/>
          <w:u w:val="single"/>
        </w:rPr>
        <w:t>30. APRIL</w:t>
      </w:r>
      <w:r w:rsidR="008E4D90">
        <w:rPr>
          <w:rFonts w:ascii="Arial" w:hAnsi="Arial" w:cs="Arial"/>
          <w:b/>
          <w:bCs/>
          <w:u w:val="single"/>
        </w:rPr>
        <w:t xml:space="preserve"> </w:t>
      </w:r>
      <w:r w:rsidR="004F17D0" w:rsidRPr="00252B0F">
        <w:rPr>
          <w:rFonts w:ascii="Arial" w:hAnsi="Arial" w:cs="Arial"/>
          <w:b/>
          <w:bCs/>
          <w:u w:val="single"/>
        </w:rPr>
        <w:t>2025</w:t>
      </w:r>
      <w:r w:rsidR="004F17D0">
        <w:rPr>
          <w:rFonts w:ascii="Arial" w:hAnsi="Arial" w:cs="Arial"/>
        </w:rPr>
        <w:t>.</w:t>
      </w:r>
    </w:p>
    <w:p w14:paraId="1ABE7DAF" w14:textId="42578BFB" w:rsidR="004F17D0" w:rsidRPr="00252B0F" w:rsidRDefault="001F577F" w:rsidP="002E0A2C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4F17D0" w:rsidRPr="00252B0F">
        <w:rPr>
          <w:rFonts w:ascii="Arial" w:hAnsi="Arial" w:cs="Arial"/>
          <w:b/>
          <w:bCs/>
          <w:sz w:val="28"/>
          <w:szCs w:val="28"/>
        </w:rPr>
        <w:t>. VIDERE PROSESS</w:t>
      </w:r>
    </w:p>
    <w:p w14:paraId="2A3EDCB8" w14:textId="1113D574" w:rsidR="0034687A" w:rsidRDefault="001F577F" w:rsidP="002E0A2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Det legges opp til et informasjonsmøte på Teams om prosessen. </w:t>
      </w:r>
      <w:r w:rsidR="004F17D0">
        <w:rPr>
          <w:rFonts w:ascii="Arial" w:hAnsi="Arial" w:cs="Arial"/>
        </w:rPr>
        <w:t>Etter utløp</w:t>
      </w:r>
      <w:r>
        <w:rPr>
          <w:rFonts w:ascii="Arial" w:hAnsi="Arial" w:cs="Arial"/>
        </w:rPr>
        <w:t>et av fristen for å melde interesse, vil Kystverket kunne ha behov for nærmere dialog med enkelt</w:t>
      </w:r>
      <w:r w:rsidR="008320B6">
        <w:rPr>
          <w:rFonts w:ascii="Arial" w:hAnsi="Arial" w:cs="Arial"/>
        </w:rPr>
        <w:t>havner</w:t>
      </w:r>
      <w:r>
        <w:rPr>
          <w:rFonts w:ascii="Arial" w:hAnsi="Arial" w:cs="Arial"/>
        </w:rPr>
        <w:t xml:space="preserve"> om kvalitetssikring av opplysninger. Kystverket skal deretter</w:t>
      </w:r>
      <w:r w:rsidR="004F17D0">
        <w:rPr>
          <w:rFonts w:ascii="Arial" w:hAnsi="Arial" w:cs="Arial"/>
        </w:rPr>
        <w:t xml:space="preserve"> levere en tilråding til departementet om hvilke havner som bør være TEN-T-havner</w:t>
      </w:r>
      <w:r w:rsidR="0034687A">
        <w:rPr>
          <w:rFonts w:ascii="Arial" w:hAnsi="Arial" w:cs="Arial"/>
        </w:rPr>
        <w:t>, herunder hvilke som bør være kjernehavner</w:t>
      </w:r>
      <w:r w:rsidR="004F17D0">
        <w:rPr>
          <w:rFonts w:ascii="Arial" w:hAnsi="Arial" w:cs="Arial"/>
        </w:rPr>
        <w:t xml:space="preserve">. </w:t>
      </w:r>
    </w:p>
    <w:p w14:paraId="3C6BF854" w14:textId="651E3775" w:rsidR="004F17D0" w:rsidRDefault="004F17D0" w:rsidP="002E0A2C">
      <w:pPr>
        <w:jc w:val="left"/>
        <w:rPr>
          <w:rFonts w:ascii="Arial" w:hAnsi="Arial" w:cs="Arial"/>
        </w:rPr>
      </w:pPr>
      <w:bookmarkStart w:id="1" w:name="_Hlk193112292"/>
      <w:r>
        <w:rPr>
          <w:rFonts w:ascii="Arial" w:hAnsi="Arial" w:cs="Arial"/>
        </w:rPr>
        <w:t xml:space="preserve">Etter å ha mottatt Kystverkets tilråding vil Nærings- og fiskeridepartementet </w:t>
      </w:r>
      <w:r w:rsidR="001F577F">
        <w:rPr>
          <w:rFonts w:ascii="Arial" w:hAnsi="Arial" w:cs="Arial"/>
        </w:rPr>
        <w:t>vurdere om det er behov for e</w:t>
      </w:r>
      <w:r w:rsidR="00EE4BE1">
        <w:rPr>
          <w:rFonts w:ascii="Arial" w:hAnsi="Arial" w:cs="Arial"/>
        </w:rPr>
        <w:t>n</w:t>
      </w:r>
      <w:r w:rsidR="001F577F">
        <w:rPr>
          <w:rFonts w:ascii="Arial" w:hAnsi="Arial" w:cs="Arial"/>
        </w:rPr>
        <w:t>dringer i den foreslåtte liste</w:t>
      </w:r>
      <w:r w:rsidR="00EE4BE1">
        <w:rPr>
          <w:rFonts w:ascii="Arial" w:hAnsi="Arial" w:cs="Arial"/>
        </w:rPr>
        <w:t>n</w:t>
      </w:r>
      <w:r w:rsidR="001F577F">
        <w:rPr>
          <w:rFonts w:ascii="Arial" w:hAnsi="Arial" w:cs="Arial"/>
        </w:rPr>
        <w:t xml:space="preserve"> over </w:t>
      </w:r>
      <w:bookmarkEnd w:id="1"/>
      <w:r w:rsidR="001F577F">
        <w:rPr>
          <w:rFonts w:ascii="Arial" w:hAnsi="Arial" w:cs="Arial"/>
        </w:rPr>
        <w:t>TEN-T-havner og beslutte hvilke havner Norge skal melde inn til EU som ønskede TEN-T-havner.</w:t>
      </w:r>
      <w:r>
        <w:rPr>
          <w:rFonts w:ascii="Arial" w:hAnsi="Arial" w:cs="Arial"/>
        </w:rPr>
        <w:t xml:space="preserve"> </w:t>
      </w:r>
    </w:p>
    <w:p w14:paraId="15228429" w14:textId="7B238BED" w:rsidR="004F17D0" w:rsidRDefault="00EE4BE1" w:rsidP="002E0A2C">
      <w:pPr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Når </w:t>
      </w:r>
      <w:r w:rsidR="001F577F">
        <w:rPr>
          <w:rFonts w:ascii="Arial" w:hAnsi="Arial" w:cs="Arial"/>
        </w:rPr>
        <w:t xml:space="preserve">den reviderte TEN-T-forordningen og det nye kartet over det norske TEN-T-nettverket er tatt inn i EØS-avtalen, vil </w:t>
      </w:r>
      <w:r>
        <w:rPr>
          <w:rFonts w:ascii="Arial" w:hAnsi="Arial" w:cs="Arial"/>
        </w:rPr>
        <w:t xml:space="preserve">det </w:t>
      </w:r>
      <w:r w:rsidR="004F17D0" w:rsidRPr="0052115C">
        <w:rPr>
          <w:rFonts w:ascii="Arial" w:hAnsi="Arial" w:cs="Arial"/>
        </w:rPr>
        <w:t xml:space="preserve">bli utarbeidet et forslag til forskrift om utpeking av TEN-T-havner som sendes på høring. </w:t>
      </w:r>
      <w:r w:rsidR="008320B6">
        <w:rPr>
          <w:rFonts w:ascii="Arial" w:hAnsi="Arial" w:cs="Arial"/>
        </w:rPr>
        <w:t xml:space="preserve">Forskriften vil liste opp de </w:t>
      </w:r>
      <w:r w:rsidR="00E3687E">
        <w:rPr>
          <w:rFonts w:ascii="Arial" w:hAnsi="Arial" w:cs="Arial"/>
        </w:rPr>
        <w:t xml:space="preserve">norske </w:t>
      </w:r>
      <w:r w:rsidR="008320B6">
        <w:rPr>
          <w:rFonts w:ascii="Arial" w:hAnsi="Arial" w:cs="Arial"/>
        </w:rPr>
        <w:t xml:space="preserve">havnene som skal </w:t>
      </w:r>
      <w:r w:rsidR="00E3687E">
        <w:rPr>
          <w:rFonts w:ascii="Arial" w:hAnsi="Arial" w:cs="Arial"/>
        </w:rPr>
        <w:t xml:space="preserve">inngå i </w:t>
      </w:r>
      <w:r w:rsidR="008320B6">
        <w:rPr>
          <w:rFonts w:ascii="Arial" w:hAnsi="Arial" w:cs="Arial"/>
        </w:rPr>
        <w:t>TEN-T</w:t>
      </w:r>
      <w:r w:rsidR="004F17D0" w:rsidRPr="0052115C">
        <w:rPr>
          <w:rFonts w:ascii="Arial" w:hAnsi="Arial" w:cs="Arial"/>
        </w:rPr>
        <w:t>.</w:t>
      </w:r>
      <w:r w:rsidR="004F17D0">
        <w:rPr>
          <w:rFonts w:ascii="Arial" w:hAnsi="Arial" w:cs="Arial"/>
        </w:rPr>
        <w:t xml:space="preserve"> </w:t>
      </w:r>
    </w:p>
    <w:p w14:paraId="501AA172" w14:textId="69454062" w:rsidR="004F17D0" w:rsidRPr="00252B0F" w:rsidRDefault="001F577F" w:rsidP="002E0A2C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4F17D0" w:rsidRPr="00252B0F">
        <w:rPr>
          <w:rFonts w:ascii="Arial" w:hAnsi="Arial" w:cs="Arial"/>
          <w:b/>
          <w:bCs/>
          <w:sz w:val="28"/>
          <w:szCs w:val="28"/>
        </w:rPr>
        <w:t>. MER INFORMASJON</w:t>
      </w:r>
    </w:p>
    <w:p w14:paraId="201FC75C" w14:textId="0C6FCF43" w:rsidR="006A611B" w:rsidRPr="002E0A2C" w:rsidRDefault="002A5368" w:rsidP="002E0A2C">
      <w:pPr>
        <w:jc w:val="left"/>
        <w:rPr>
          <w:rFonts w:ascii="Arial" w:hAnsi="Arial" w:cs="Arial"/>
        </w:rPr>
      </w:pPr>
      <w:r w:rsidRPr="002E0A2C">
        <w:rPr>
          <w:rFonts w:ascii="Arial" w:hAnsi="Arial" w:cs="Arial"/>
          <w:b/>
          <w:bCs/>
        </w:rPr>
        <w:t xml:space="preserve">Kystverket </w:t>
      </w:r>
      <w:r w:rsidR="00FC2D9E">
        <w:rPr>
          <w:rFonts w:ascii="Arial" w:hAnsi="Arial" w:cs="Arial"/>
          <w:b/>
          <w:bCs/>
        </w:rPr>
        <w:t xml:space="preserve">setter opp et </w:t>
      </w:r>
      <w:r w:rsidRPr="002E0A2C">
        <w:rPr>
          <w:rFonts w:ascii="Arial" w:hAnsi="Arial" w:cs="Arial"/>
          <w:b/>
          <w:bCs/>
        </w:rPr>
        <w:t>informasjonsmøte</w:t>
      </w:r>
      <w:r w:rsidR="00FC2D9E">
        <w:rPr>
          <w:rFonts w:ascii="Arial" w:hAnsi="Arial" w:cs="Arial"/>
          <w:b/>
          <w:bCs/>
        </w:rPr>
        <w:t xml:space="preserve"> </w:t>
      </w:r>
      <w:r w:rsidRPr="002E0A2C">
        <w:rPr>
          <w:rFonts w:ascii="Arial" w:hAnsi="Arial" w:cs="Arial"/>
          <w:b/>
          <w:bCs/>
        </w:rPr>
        <w:t xml:space="preserve">på Teams </w:t>
      </w:r>
      <w:r w:rsidR="00FC2D9E">
        <w:rPr>
          <w:rFonts w:ascii="Arial" w:hAnsi="Arial" w:cs="Arial"/>
          <w:b/>
          <w:bCs/>
        </w:rPr>
        <w:t>for å svare ut eventuelle spørsmål om prosessen. Tidspunkt: T</w:t>
      </w:r>
      <w:r w:rsidR="008320B6">
        <w:rPr>
          <w:rFonts w:ascii="Arial" w:hAnsi="Arial" w:cs="Arial"/>
          <w:b/>
          <w:bCs/>
        </w:rPr>
        <w:t xml:space="preserve">orsdag </w:t>
      </w:r>
      <w:r w:rsidRPr="002E0A2C">
        <w:rPr>
          <w:rFonts w:ascii="Arial" w:hAnsi="Arial" w:cs="Arial"/>
          <w:b/>
          <w:bCs/>
        </w:rPr>
        <w:t xml:space="preserve">den </w:t>
      </w:r>
      <w:r w:rsidR="008320B6">
        <w:rPr>
          <w:rFonts w:ascii="Arial" w:hAnsi="Arial" w:cs="Arial"/>
          <w:b/>
          <w:bCs/>
        </w:rPr>
        <w:t>27</w:t>
      </w:r>
      <w:r w:rsidR="002E0A2C" w:rsidRPr="002E0A2C">
        <w:rPr>
          <w:rFonts w:ascii="Arial" w:hAnsi="Arial" w:cs="Arial"/>
          <w:b/>
          <w:bCs/>
        </w:rPr>
        <w:t xml:space="preserve">. </w:t>
      </w:r>
      <w:r w:rsidR="00C80D51">
        <w:rPr>
          <w:rFonts w:ascii="Arial" w:hAnsi="Arial" w:cs="Arial"/>
          <w:b/>
          <w:bCs/>
        </w:rPr>
        <w:t>mars</w:t>
      </w:r>
      <w:r w:rsidR="002E0A2C" w:rsidRPr="002E0A2C">
        <w:rPr>
          <w:rFonts w:ascii="Arial" w:hAnsi="Arial" w:cs="Arial"/>
          <w:b/>
          <w:bCs/>
        </w:rPr>
        <w:t xml:space="preserve"> </w:t>
      </w:r>
      <w:r w:rsidRPr="002E0A2C">
        <w:rPr>
          <w:rFonts w:ascii="Arial" w:hAnsi="Arial" w:cs="Arial"/>
          <w:b/>
          <w:bCs/>
        </w:rPr>
        <w:t>2025</w:t>
      </w:r>
      <w:r w:rsidR="002E0A2C" w:rsidRPr="002E0A2C">
        <w:rPr>
          <w:rFonts w:ascii="Arial" w:hAnsi="Arial" w:cs="Arial"/>
          <w:b/>
          <w:bCs/>
        </w:rPr>
        <w:t xml:space="preserve"> kl. 0</w:t>
      </w:r>
      <w:r w:rsidR="002E0A2C">
        <w:rPr>
          <w:rFonts w:ascii="Arial" w:hAnsi="Arial" w:cs="Arial"/>
          <w:b/>
          <w:bCs/>
        </w:rPr>
        <w:t>9</w:t>
      </w:r>
      <w:r w:rsidR="002E0A2C" w:rsidRPr="002E0A2C">
        <w:rPr>
          <w:rFonts w:ascii="Arial" w:hAnsi="Arial" w:cs="Arial"/>
          <w:b/>
          <w:bCs/>
        </w:rPr>
        <w:t>:</w:t>
      </w:r>
      <w:r w:rsidR="002E0A2C">
        <w:rPr>
          <w:rFonts w:ascii="Arial" w:hAnsi="Arial" w:cs="Arial"/>
          <w:b/>
          <w:bCs/>
        </w:rPr>
        <w:t>3</w:t>
      </w:r>
      <w:r w:rsidR="002E0A2C" w:rsidRPr="002E0A2C">
        <w:rPr>
          <w:rFonts w:ascii="Arial" w:hAnsi="Arial" w:cs="Arial"/>
          <w:b/>
          <w:bCs/>
        </w:rPr>
        <w:t>0 -</w:t>
      </w:r>
      <w:r w:rsidR="002E0A2C">
        <w:rPr>
          <w:rFonts w:ascii="Arial" w:hAnsi="Arial" w:cs="Arial"/>
          <w:b/>
          <w:bCs/>
        </w:rPr>
        <w:t xml:space="preserve"> </w:t>
      </w:r>
      <w:r w:rsidR="002E0A2C" w:rsidRPr="002E0A2C">
        <w:rPr>
          <w:rFonts w:ascii="Arial" w:hAnsi="Arial" w:cs="Arial"/>
          <w:b/>
          <w:bCs/>
        </w:rPr>
        <w:t>1</w:t>
      </w:r>
      <w:r w:rsidR="00FC2D9E">
        <w:rPr>
          <w:rFonts w:ascii="Arial" w:hAnsi="Arial" w:cs="Arial"/>
          <w:b/>
          <w:bCs/>
        </w:rPr>
        <w:t>0</w:t>
      </w:r>
      <w:r w:rsidR="002E0A2C" w:rsidRPr="002E0A2C">
        <w:rPr>
          <w:rFonts w:ascii="Arial" w:hAnsi="Arial" w:cs="Arial"/>
          <w:b/>
          <w:bCs/>
        </w:rPr>
        <w:t>:30</w:t>
      </w:r>
      <w:r w:rsidRPr="002E0A2C">
        <w:rPr>
          <w:rFonts w:ascii="Arial" w:hAnsi="Arial" w:cs="Arial"/>
          <w:b/>
          <w:bCs/>
        </w:rPr>
        <w:t xml:space="preserve">. </w:t>
      </w:r>
      <w:r w:rsidR="0034687A" w:rsidRPr="002E0A2C">
        <w:rPr>
          <w:rFonts w:ascii="Arial" w:hAnsi="Arial" w:cs="Arial"/>
        </w:rPr>
        <w:t xml:space="preserve">Påmelding sendes til </w:t>
      </w:r>
      <w:r w:rsidRPr="002E0A2C">
        <w:rPr>
          <w:rFonts w:ascii="Arial" w:hAnsi="Arial" w:cs="Arial"/>
        </w:rPr>
        <w:t>ingvild.kragset@kystverket.no</w:t>
      </w:r>
      <w:r w:rsidR="0052115C" w:rsidRPr="002E0A2C">
        <w:rPr>
          <w:rFonts w:ascii="Arial" w:hAnsi="Arial" w:cs="Arial"/>
        </w:rPr>
        <w:t>.</w:t>
      </w:r>
    </w:p>
    <w:p w14:paraId="7B4ACE49" w14:textId="33C57AE4" w:rsidR="0052115C" w:rsidRDefault="0052115C" w:rsidP="002E0A2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Ta </w:t>
      </w:r>
      <w:r w:rsidR="008E4D90">
        <w:rPr>
          <w:rFonts w:ascii="Arial" w:hAnsi="Arial" w:cs="Arial"/>
        </w:rPr>
        <w:t xml:space="preserve">ellers </w:t>
      </w:r>
      <w:r>
        <w:rPr>
          <w:rFonts w:ascii="Arial" w:hAnsi="Arial" w:cs="Arial"/>
        </w:rPr>
        <w:t xml:space="preserve">kontakt med saksbehandler på e-post </w:t>
      </w:r>
      <w:hyperlink r:id="rId8" w:history="1">
        <w:r w:rsidRPr="002B2646">
          <w:rPr>
            <w:rStyle w:val="Hyperkobling"/>
            <w:rFonts w:ascii="Arial" w:hAnsi="Arial" w:cs="Arial"/>
          </w:rPr>
          <w:t>ingvild.kragset@kystverket.no</w:t>
        </w:r>
      </w:hyperlink>
      <w:r>
        <w:rPr>
          <w:rFonts w:ascii="Arial" w:hAnsi="Arial" w:cs="Arial"/>
        </w:rPr>
        <w:t xml:space="preserve"> eller telefon 93 45 39 21 for mer informasjon.</w:t>
      </w:r>
    </w:p>
    <w:p w14:paraId="14132154" w14:textId="35C79F58" w:rsidR="004F17D0" w:rsidRDefault="004F17D0" w:rsidP="002E0A2C">
      <w:pPr>
        <w:jc w:val="left"/>
        <w:rPr>
          <w:rFonts w:ascii="Arial" w:hAnsi="Arial" w:cs="Arial"/>
        </w:rPr>
      </w:pPr>
      <w:r w:rsidRPr="008E4D90">
        <w:rPr>
          <w:rFonts w:ascii="Arial" w:hAnsi="Arial" w:cs="Arial"/>
          <w:u w:val="single"/>
        </w:rPr>
        <w:t>Andre kilder til informasjon</w:t>
      </w:r>
      <w:r w:rsidR="008E4D90" w:rsidRPr="008E4D90">
        <w:rPr>
          <w:rFonts w:ascii="Arial" w:hAnsi="Arial" w:cs="Arial"/>
          <w:u w:val="single"/>
        </w:rPr>
        <w:t xml:space="preserve"> om TEN-T</w:t>
      </w:r>
      <w:r>
        <w:rPr>
          <w:rFonts w:ascii="Arial" w:hAnsi="Arial" w:cs="Arial"/>
        </w:rPr>
        <w:t>:</w:t>
      </w:r>
    </w:p>
    <w:p w14:paraId="3CF2627E" w14:textId="0248609E" w:rsidR="004F17D0" w:rsidRDefault="004F17D0" w:rsidP="002E0A2C">
      <w:pPr>
        <w:jc w:val="left"/>
        <w:rPr>
          <w:rStyle w:val="Hyperkobling"/>
          <w:rFonts w:ascii="Arial" w:hAnsi="Arial" w:cs="Arial"/>
        </w:rPr>
      </w:pPr>
      <w:r>
        <w:rPr>
          <w:rFonts w:ascii="Arial" w:hAnsi="Arial" w:cs="Arial"/>
        </w:rPr>
        <w:t>Overordnet om TEN-T</w:t>
      </w:r>
      <w:r w:rsidR="008320B6">
        <w:rPr>
          <w:rFonts w:ascii="Arial" w:hAnsi="Arial" w:cs="Arial"/>
        </w:rPr>
        <w:t>, her er også link til TEN-T-forordningen</w:t>
      </w:r>
      <w:r>
        <w:rPr>
          <w:rFonts w:ascii="Arial" w:hAnsi="Arial" w:cs="Arial"/>
        </w:rPr>
        <w:t xml:space="preserve">: </w:t>
      </w:r>
      <w:hyperlink r:id="rId9" w:history="1">
        <w:r w:rsidRPr="00A80C25">
          <w:rPr>
            <w:rStyle w:val="Hyperkobling"/>
            <w:rFonts w:ascii="Arial" w:hAnsi="Arial" w:cs="Arial"/>
          </w:rPr>
          <w:t>https://transport.ec.europa.eu/transport-themes/infrastructure-and-investment/trans-european-transport-network-ten-t_en</w:t>
        </w:r>
      </w:hyperlink>
    </w:p>
    <w:p w14:paraId="39B9407C" w14:textId="77777777" w:rsidR="004F17D0" w:rsidRDefault="004F17D0" w:rsidP="002E0A2C">
      <w:pPr>
        <w:jc w:val="left"/>
        <w:rPr>
          <w:rStyle w:val="Hyperkobling"/>
          <w:rFonts w:ascii="Arial" w:hAnsi="Arial" w:cs="Arial"/>
        </w:rPr>
      </w:pPr>
      <w:r>
        <w:rPr>
          <w:rStyle w:val="Hyperkobling"/>
          <w:rFonts w:ascii="Arial" w:hAnsi="Arial" w:cs="Arial"/>
        </w:rPr>
        <w:t xml:space="preserve">Oversikt over dagens TEN-T-infrastruktur: </w:t>
      </w:r>
      <w:hyperlink r:id="rId10" w:history="1">
        <w:r w:rsidRPr="00F17789">
          <w:rPr>
            <w:rStyle w:val="Hyperkobling"/>
            <w:rFonts w:ascii="Arial" w:hAnsi="Arial" w:cs="Arial"/>
          </w:rPr>
          <w:t>https://webgate.ec.europa.eu/tentec-maps/web/public/screen/home</w:t>
        </w:r>
      </w:hyperlink>
    </w:p>
    <w:p w14:paraId="1C738872" w14:textId="7E86A29C" w:rsidR="009A5ED5" w:rsidRDefault="004F17D0" w:rsidP="002E0A2C">
      <w:pPr>
        <w:jc w:val="left"/>
      </w:pPr>
      <w:r>
        <w:rPr>
          <w:rFonts w:ascii="Arial" w:hAnsi="Arial" w:cs="Arial"/>
        </w:rPr>
        <w:t xml:space="preserve">Metodedokument om identifisering av TEN-T-infrastruktur: </w:t>
      </w:r>
      <w:hyperlink r:id="rId11" w:history="1">
        <w:r w:rsidR="00714037" w:rsidRPr="002F68E2">
          <w:rPr>
            <w:rStyle w:val="Hyperkobling"/>
            <w:rFonts w:ascii="Arial" w:hAnsi="Arial" w:cs="Arial"/>
          </w:rPr>
          <w:t>https://eur-lex.europa.eu/legal-content/EN/TXT/?uri=CELEX%3A52021SC0471</w:t>
        </w:r>
      </w:hyperlink>
    </w:p>
    <w:sectPr w:rsidR="009A5ED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C7139" w14:textId="77777777" w:rsidR="00AC1B2B" w:rsidRDefault="00AC1B2B" w:rsidP="004F17D0">
      <w:pPr>
        <w:spacing w:after="0"/>
      </w:pPr>
      <w:r>
        <w:separator/>
      </w:r>
    </w:p>
  </w:endnote>
  <w:endnote w:type="continuationSeparator" w:id="0">
    <w:p w14:paraId="66F43BEE" w14:textId="77777777" w:rsidR="00AC1B2B" w:rsidRDefault="00AC1B2B" w:rsidP="004F17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8476569"/>
      <w:docPartObj>
        <w:docPartGallery w:val="Page Numbers (Bottom of Page)"/>
        <w:docPartUnique/>
      </w:docPartObj>
    </w:sdtPr>
    <w:sdtContent>
      <w:p w14:paraId="4068277A" w14:textId="037C0C1D" w:rsidR="009A5ED5" w:rsidRDefault="009A5ED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3F6749C2" w14:textId="77777777" w:rsidR="009A5ED5" w:rsidRDefault="009A5E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3FB4D" w14:textId="77777777" w:rsidR="00AC1B2B" w:rsidRDefault="00AC1B2B" w:rsidP="004F17D0">
      <w:pPr>
        <w:spacing w:after="0"/>
      </w:pPr>
      <w:r>
        <w:separator/>
      </w:r>
    </w:p>
  </w:footnote>
  <w:footnote w:type="continuationSeparator" w:id="0">
    <w:p w14:paraId="1ACCA3CD" w14:textId="77777777" w:rsidR="00AC1B2B" w:rsidRDefault="00AC1B2B" w:rsidP="004F17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7ADB9" w14:textId="2FE7B855" w:rsidR="004F17D0" w:rsidRPr="004F17D0" w:rsidRDefault="003F119C" w:rsidP="003F119C">
    <w:pPr>
      <w:pStyle w:val="Topptekst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18. mars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41D33"/>
    <w:multiLevelType w:val="hybridMultilevel"/>
    <w:tmpl w:val="B1E6438A"/>
    <w:lvl w:ilvl="0" w:tplc="F9E2E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88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25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68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8D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4E9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04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0E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5E0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37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D0"/>
    <w:rsid w:val="00030C4C"/>
    <w:rsid w:val="00053071"/>
    <w:rsid w:val="000734CC"/>
    <w:rsid w:val="00105DA9"/>
    <w:rsid w:val="00144DDF"/>
    <w:rsid w:val="00157990"/>
    <w:rsid w:val="001A3021"/>
    <w:rsid w:val="001F577F"/>
    <w:rsid w:val="00252B0F"/>
    <w:rsid w:val="00290225"/>
    <w:rsid w:val="002921AA"/>
    <w:rsid w:val="002A5368"/>
    <w:rsid w:val="002D117E"/>
    <w:rsid w:val="002D4E25"/>
    <w:rsid w:val="002E0A2C"/>
    <w:rsid w:val="002E170E"/>
    <w:rsid w:val="0031238E"/>
    <w:rsid w:val="0034687A"/>
    <w:rsid w:val="003F119C"/>
    <w:rsid w:val="004258DB"/>
    <w:rsid w:val="0042645D"/>
    <w:rsid w:val="00457EBD"/>
    <w:rsid w:val="004F17D0"/>
    <w:rsid w:val="0052115C"/>
    <w:rsid w:val="0052720D"/>
    <w:rsid w:val="0058257F"/>
    <w:rsid w:val="006364AA"/>
    <w:rsid w:val="00697AF1"/>
    <w:rsid w:val="006A611B"/>
    <w:rsid w:val="006C7C6B"/>
    <w:rsid w:val="006D0AB1"/>
    <w:rsid w:val="00714037"/>
    <w:rsid w:val="00726830"/>
    <w:rsid w:val="007551B3"/>
    <w:rsid w:val="00770D4E"/>
    <w:rsid w:val="00793238"/>
    <w:rsid w:val="00796304"/>
    <w:rsid w:val="007A6015"/>
    <w:rsid w:val="008165E9"/>
    <w:rsid w:val="008320B6"/>
    <w:rsid w:val="00842A9F"/>
    <w:rsid w:val="008C468B"/>
    <w:rsid w:val="008E4D90"/>
    <w:rsid w:val="009374FF"/>
    <w:rsid w:val="00987F0B"/>
    <w:rsid w:val="009A5ED5"/>
    <w:rsid w:val="009A6A3C"/>
    <w:rsid w:val="009C2150"/>
    <w:rsid w:val="009C331B"/>
    <w:rsid w:val="009D1FCF"/>
    <w:rsid w:val="009E3D6E"/>
    <w:rsid w:val="00A029AB"/>
    <w:rsid w:val="00A224F0"/>
    <w:rsid w:val="00A337C3"/>
    <w:rsid w:val="00A4316F"/>
    <w:rsid w:val="00A8129D"/>
    <w:rsid w:val="00AC1B2B"/>
    <w:rsid w:val="00B13953"/>
    <w:rsid w:val="00B562A0"/>
    <w:rsid w:val="00B7770C"/>
    <w:rsid w:val="00BA449D"/>
    <w:rsid w:val="00BA61C8"/>
    <w:rsid w:val="00BB0963"/>
    <w:rsid w:val="00BE635F"/>
    <w:rsid w:val="00C3421C"/>
    <w:rsid w:val="00C80D51"/>
    <w:rsid w:val="00CA179E"/>
    <w:rsid w:val="00DC5F65"/>
    <w:rsid w:val="00DD32B6"/>
    <w:rsid w:val="00DE6567"/>
    <w:rsid w:val="00DF3BC1"/>
    <w:rsid w:val="00E16AE9"/>
    <w:rsid w:val="00E3687E"/>
    <w:rsid w:val="00E5066F"/>
    <w:rsid w:val="00EA7184"/>
    <w:rsid w:val="00EE4BE1"/>
    <w:rsid w:val="00F16907"/>
    <w:rsid w:val="00F315E2"/>
    <w:rsid w:val="00F37776"/>
    <w:rsid w:val="00F837EC"/>
    <w:rsid w:val="00F94A76"/>
    <w:rsid w:val="00FA771A"/>
    <w:rsid w:val="00FB0CB8"/>
    <w:rsid w:val="00FC099D"/>
    <w:rsid w:val="00FC2D9E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F376"/>
  <w15:chartTrackingRefBased/>
  <w15:docId w15:val="{88C77A2C-97A3-4A34-9044-AF835F03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7D0"/>
    <w:pPr>
      <w:suppressAutoHyphens/>
      <w:spacing w:after="120" w:line="240" w:lineRule="auto"/>
      <w:jc w:val="both"/>
    </w:pPr>
    <w:rPr>
      <w:rFonts w:ascii="Garamond" w:hAnsi="Garamond"/>
      <w:kern w:val="0"/>
      <w:sz w:val="24"/>
      <w:lang w:val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1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1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1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1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1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1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1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1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1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1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F1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1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17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17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17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17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17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17D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1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1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1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1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1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17D0"/>
    <w:rPr>
      <w:i/>
      <w:iCs/>
      <w:color w:val="404040" w:themeColor="text1" w:themeTint="BF"/>
    </w:rPr>
  </w:style>
  <w:style w:type="paragraph" w:styleId="Listeavsnitt">
    <w:name w:val="List Paragraph"/>
    <w:basedOn w:val="Normal"/>
    <w:link w:val="ListeavsnittTegn"/>
    <w:uiPriority w:val="34"/>
    <w:qFormat/>
    <w:rsid w:val="004F17D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17D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1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17D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17D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F17D0"/>
    <w:rPr>
      <w:color w:val="auto"/>
      <w:u w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F17D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F17D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F17D0"/>
    <w:rPr>
      <w:rFonts w:ascii="Garamond" w:hAnsi="Garamond"/>
      <w:kern w:val="0"/>
      <w:sz w:val="20"/>
      <w:szCs w:val="20"/>
      <w:lang w:val="da-DK"/>
      <w14:ligatures w14:val="none"/>
    </w:rPr>
  </w:style>
  <w:style w:type="character" w:customStyle="1" w:styleId="ListeavsnittTegn">
    <w:name w:val="Listeavsnitt Tegn"/>
    <w:link w:val="Listeavsnitt"/>
    <w:uiPriority w:val="34"/>
    <w:rsid w:val="004F17D0"/>
  </w:style>
  <w:style w:type="paragraph" w:styleId="Topptekst">
    <w:name w:val="header"/>
    <w:basedOn w:val="Normal"/>
    <w:link w:val="TopptekstTegn"/>
    <w:uiPriority w:val="99"/>
    <w:unhideWhenUsed/>
    <w:rsid w:val="004F17D0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4F17D0"/>
    <w:rPr>
      <w:rFonts w:ascii="Garamond" w:hAnsi="Garamond"/>
      <w:kern w:val="0"/>
      <w:sz w:val="24"/>
      <w:lang w:val="da-DK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F17D0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F17D0"/>
    <w:rPr>
      <w:rFonts w:ascii="Garamond" w:hAnsi="Garamond"/>
      <w:kern w:val="0"/>
      <w:sz w:val="24"/>
      <w:lang w:val="da-DK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E5066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066F"/>
    <w:rPr>
      <w:color w:val="96607D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C099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C099D"/>
    <w:rPr>
      <w:rFonts w:ascii="Garamond" w:hAnsi="Garamond"/>
      <w:b/>
      <w:bCs/>
      <w:kern w:val="0"/>
      <w:sz w:val="20"/>
      <w:szCs w:val="20"/>
      <w:lang w:val="da-DK"/>
      <w14:ligatures w14:val="none"/>
    </w:rPr>
  </w:style>
  <w:style w:type="paragraph" w:styleId="Revisjon">
    <w:name w:val="Revision"/>
    <w:hidden/>
    <w:uiPriority w:val="99"/>
    <w:semiHidden/>
    <w:rsid w:val="002A5368"/>
    <w:pPr>
      <w:spacing w:after="0" w:line="240" w:lineRule="auto"/>
    </w:pPr>
    <w:rPr>
      <w:rFonts w:ascii="Garamond" w:hAnsi="Garamond"/>
      <w:kern w:val="0"/>
      <w:sz w:val="24"/>
      <w:lang w:val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vild.kragset@kystverket.n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vdata.no/lov/2019-06-21-70/&#167;2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EN/TXT/?uri=CELEX%3A52021SC047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ebgate.ec.europa.eu/tentec-maps/web/public/screen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ort.ec.europa.eu/transport-themes/infrastructure-and-investment/trans-european-transport-network-ten-t_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1762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Kragset, Ingvild</dc:creator>
  <cp:keywords/>
  <dc:description/>
  <cp:lastModifiedBy>Ingvild Victoria Kragset</cp:lastModifiedBy>
  <cp:revision>2</cp:revision>
  <cp:lastPrinted>2025-03-17T12:08:00Z</cp:lastPrinted>
  <dcterms:created xsi:type="dcterms:W3CDTF">2025-03-18T09:17:00Z</dcterms:created>
  <dcterms:modified xsi:type="dcterms:W3CDTF">2025-03-18T09:17:00Z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2025-03-17T13:48:10Z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207b59a8-b0b3-497e-a991-448216a14e2c</vt:lpwstr>
  </property>
  <property fmtid="{D5CDD505-2E9C-101B-9397-08002B2CF9AE}" pid="8" name="MSIP_Label_24605b63-4aad-46a3-aa9d-a839194239a5_ContentBits">
    <vt:lpwstr>0</vt:lpwstr>
  </property>
</Properties>
</file>